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346E4" w14:textId="501B95F7" w:rsidR="00071155" w:rsidRDefault="00071155" w:rsidP="002F24BD">
      <w:pPr>
        <w:pStyle w:val="Titre1"/>
        <w:spacing w:before="82"/>
        <w:ind w:left="0" w:right="3217"/>
        <w:jc w:val="left"/>
      </w:pPr>
      <w:r w:rsidRPr="007A697A">
        <w:rPr>
          <w:rFonts w:cs="Calibri"/>
          <w:noProof/>
        </w:rPr>
        <w:drawing>
          <wp:inline distT="0" distB="0" distL="0" distR="0" wp14:anchorId="77F1AAB6" wp14:editId="0D2EFECF">
            <wp:extent cx="1257300" cy="1257300"/>
            <wp:effectExtent l="0" t="0" r="0" b="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inline>
        </w:drawing>
      </w:r>
    </w:p>
    <w:p w14:paraId="02EFF62D" w14:textId="77777777" w:rsidR="00071155" w:rsidRPr="00306E97" w:rsidRDefault="00071155" w:rsidP="00071155">
      <w:pPr>
        <w:rPr>
          <w:rFonts w:cs="Calibri"/>
          <w:b/>
        </w:rPr>
      </w:pPr>
      <w:r w:rsidRPr="00306E97">
        <w:rPr>
          <w:rFonts w:cs="Calibri"/>
          <w:b/>
        </w:rPr>
        <w:t xml:space="preserve">Direction des Affaires juridiques, </w:t>
      </w:r>
    </w:p>
    <w:p w14:paraId="4AC3C269" w14:textId="77777777" w:rsidR="00071155" w:rsidRPr="00306E97" w:rsidRDefault="00071155" w:rsidP="00071155">
      <w:pPr>
        <w:rPr>
          <w:rFonts w:cs="Calibri"/>
          <w:b/>
        </w:rPr>
      </w:pPr>
      <w:r w:rsidRPr="00306E97">
        <w:rPr>
          <w:rFonts w:cs="Calibri"/>
          <w:b/>
        </w:rPr>
        <w:t xml:space="preserve">de la conformité et de la déontologie </w:t>
      </w:r>
    </w:p>
    <w:p w14:paraId="53061A7A" w14:textId="77777777" w:rsidR="00071155" w:rsidRPr="00306E97" w:rsidRDefault="00071155" w:rsidP="00071155">
      <w:pPr>
        <w:rPr>
          <w:rFonts w:cs="Calibri"/>
          <w:b/>
        </w:rPr>
      </w:pPr>
      <w:r w:rsidRPr="00306E97">
        <w:rPr>
          <w:rFonts w:cs="Calibri"/>
          <w:b/>
        </w:rPr>
        <w:t>51 rue de Lille</w:t>
      </w:r>
    </w:p>
    <w:p w14:paraId="2C328D1E" w14:textId="3D6B6203" w:rsidR="00071155" w:rsidRPr="00C54FDB" w:rsidRDefault="00071155" w:rsidP="00071155">
      <w:pPr>
        <w:spacing w:before="60" w:line="220" w:lineRule="exact"/>
        <w:ind w:right="-352"/>
        <w:rPr>
          <w:rFonts w:cs="Calibri"/>
          <w:b/>
        </w:rPr>
      </w:pPr>
      <w:r w:rsidRPr="00C54FDB">
        <w:rPr>
          <w:rFonts w:cs="Calibri"/>
          <w:b/>
        </w:rPr>
        <w:t>750</w:t>
      </w:r>
      <w:r w:rsidR="00C54FDB" w:rsidRPr="00C54FDB">
        <w:rPr>
          <w:rFonts w:cs="Calibri"/>
          <w:b/>
        </w:rPr>
        <w:t>07</w:t>
      </w:r>
      <w:r w:rsidRPr="00C54FDB">
        <w:rPr>
          <w:rFonts w:cs="Calibri"/>
          <w:b/>
        </w:rPr>
        <w:t xml:space="preserve"> </w:t>
      </w:r>
      <w:proofErr w:type="spellStart"/>
      <w:r w:rsidRPr="00C54FDB">
        <w:rPr>
          <w:rFonts w:cs="Calibri"/>
          <w:b/>
        </w:rPr>
        <w:t>PAris</w:t>
      </w:r>
      <w:proofErr w:type="spellEnd"/>
    </w:p>
    <w:p w14:paraId="69A12949" w14:textId="77777777" w:rsidR="00071155" w:rsidRDefault="00071155">
      <w:pPr>
        <w:pStyle w:val="Titre1"/>
        <w:spacing w:before="82"/>
        <w:ind w:left="3216" w:right="3217"/>
        <w:jc w:val="center"/>
      </w:pPr>
    </w:p>
    <w:p w14:paraId="588CF95A" w14:textId="77777777" w:rsidR="00071155" w:rsidRDefault="00071155">
      <w:pPr>
        <w:pStyle w:val="Titre1"/>
        <w:spacing w:before="82"/>
        <w:ind w:left="3216" w:right="3217"/>
        <w:jc w:val="center"/>
      </w:pPr>
    </w:p>
    <w:p w14:paraId="0A829807" w14:textId="77777777" w:rsidR="008B67C6" w:rsidRDefault="005F261A">
      <w:pPr>
        <w:pStyle w:val="Titre1"/>
        <w:spacing w:before="82"/>
        <w:ind w:left="3216" w:right="3217"/>
        <w:jc w:val="center"/>
        <w:rPr>
          <w:spacing w:val="-2"/>
        </w:rPr>
      </w:pPr>
      <w:r>
        <w:t>ENGAGEMEN</w:t>
      </w:r>
      <w:r w:rsidR="00FA6EF4">
        <w:t>T</w:t>
      </w:r>
      <w:r w:rsidR="00AD5130">
        <w:rPr>
          <w:spacing w:val="-6"/>
        </w:rPr>
        <w:t xml:space="preserve"> </w:t>
      </w:r>
      <w:r w:rsidR="00A368D8">
        <w:rPr>
          <w:spacing w:val="-6"/>
        </w:rPr>
        <w:t xml:space="preserve">UNILATERAL </w:t>
      </w:r>
      <w:r w:rsidR="00AD5130">
        <w:t>DE</w:t>
      </w:r>
      <w:r w:rsidR="00AD5130">
        <w:rPr>
          <w:spacing w:val="-5"/>
        </w:rPr>
        <w:t xml:space="preserve"> </w:t>
      </w:r>
      <w:r w:rsidR="00AD5130">
        <w:rPr>
          <w:spacing w:val="-2"/>
        </w:rPr>
        <w:t>CONFIDENTIALITÉ</w:t>
      </w:r>
      <w:r w:rsidR="008B67C6">
        <w:rPr>
          <w:spacing w:val="-2"/>
        </w:rPr>
        <w:t xml:space="preserve"> </w:t>
      </w:r>
    </w:p>
    <w:p w14:paraId="276058E7" w14:textId="78B31D93" w:rsidR="00851157" w:rsidRPr="008B67C6" w:rsidRDefault="008B67C6">
      <w:pPr>
        <w:pStyle w:val="Titre1"/>
        <w:spacing w:before="82"/>
        <w:ind w:left="3216" w:right="3217"/>
        <w:jc w:val="center"/>
        <w:rPr>
          <w:b w:val="0"/>
          <w:bCs w:val="0"/>
          <w:sz w:val="18"/>
          <w:szCs w:val="18"/>
          <w:u w:val="none"/>
        </w:rPr>
      </w:pPr>
      <w:r w:rsidRPr="008B67C6">
        <w:rPr>
          <w:b w:val="0"/>
          <w:bCs w:val="0"/>
          <w:spacing w:val="-2"/>
          <w:sz w:val="18"/>
          <w:szCs w:val="18"/>
        </w:rPr>
        <w:t>(cf. article 2.2 du règlement de la consultation)</w:t>
      </w:r>
    </w:p>
    <w:p w14:paraId="276058E8" w14:textId="77777777" w:rsidR="00851157" w:rsidRPr="00C70908" w:rsidRDefault="00851157" w:rsidP="00C70908">
      <w:pPr>
        <w:rPr>
          <w:szCs w:val="20"/>
        </w:rPr>
      </w:pPr>
    </w:p>
    <w:p w14:paraId="276058E9" w14:textId="77777777" w:rsidR="00851157" w:rsidRPr="00C70908" w:rsidRDefault="00851157" w:rsidP="00C70908">
      <w:pPr>
        <w:rPr>
          <w:szCs w:val="20"/>
        </w:rPr>
      </w:pPr>
    </w:p>
    <w:p w14:paraId="1828D17A" w14:textId="77777777" w:rsidR="00C70908" w:rsidRPr="00C70908" w:rsidRDefault="00C70908" w:rsidP="00C70908">
      <w:pPr>
        <w:rPr>
          <w:spacing w:val="-2"/>
          <w:szCs w:val="20"/>
        </w:rPr>
      </w:pPr>
    </w:p>
    <w:p w14:paraId="276058EA" w14:textId="40455BAD" w:rsidR="00851157" w:rsidRPr="00611550" w:rsidRDefault="003B013C" w:rsidP="00C70908">
      <w:pPr>
        <w:rPr>
          <w:b/>
          <w:bCs/>
          <w:szCs w:val="20"/>
        </w:rPr>
      </w:pPr>
      <w:r w:rsidRPr="00611550">
        <w:rPr>
          <w:b/>
          <w:bCs/>
          <w:spacing w:val="-2"/>
          <w:szCs w:val="20"/>
        </w:rPr>
        <w:t xml:space="preserve">Ce document régit les </w:t>
      </w:r>
      <w:r w:rsidR="00611550" w:rsidRPr="00611550">
        <w:rPr>
          <w:b/>
          <w:bCs/>
          <w:spacing w:val="-2"/>
          <w:szCs w:val="20"/>
        </w:rPr>
        <w:t>engagements</w:t>
      </w:r>
      <w:r w:rsidRPr="00611550">
        <w:rPr>
          <w:b/>
          <w:bCs/>
          <w:spacing w:val="-2"/>
          <w:szCs w:val="20"/>
        </w:rPr>
        <w:t xml:space="preserve"> </w:t>
      </w:r>
      <w:r w:rsidR="00C70908" w:rsidRPr="00611550">
        <w:rPr>
          <w:b/>
          <w:bCs/>
          <w:spacing w:val="-2"/>
          <w:szCs w:val="20"/>
        </w:rPr>
        <w:t xml:space="preserve">de : </w:t>
      </w:r>
    </w:p>
    <w:p w14:paraId="276058EB" w14:textId="77777777" w:rsidR="00851157" w:rsidRPr="00C70908" w:rsidRDefault="00851157" w:rsidP="00C70908">
      <w:pPr>
        <w:rPr>
          <w:szCs w:val="20"/>
        </w:rPr>
      </w:pPr>
    </w:p>
    <w:p w14:paraId="2E4E52D4" w14:textId="77777777" w:rsidR="00C70908" w:rsidRPr="00C70908" w:rsidRDefault="00C70908" w:rsidP="00C70908">
      <w:pPr>
        <w:rPr>
          <w:szCs w:val="20"/>
        </w:rPr>
      </w:pPr>
    </w:p>
    <w:p w14:paraId="276058EC" w14:textId="68E5FD1A" w:rsidR="00851157" w:rsidRPr="00C70908" w:rsidRDefault="00EC02DF" w:rsidP="00C70908">
      <w:pPr>
        <w:rPr>
          <w:szCs w:val="20"/>
        </w:rPr>
      </w:pPr>
      <w:r w:rsidRPr="00C70908">
        <w:rPr>
          <w:color w:val="000000"/>
          <w:szCs w:val="20"/>
          <w:lang w:eastAsia="es-ES"/>
        </w:rPr>
        <w:t>[</w:t>
      </w:r>
      <w:r w:rsidRPr="00C70908">
        <w:rPr>
          <w:color w:val="000000"/>
          <w:szCs w:val="20"/>
          <w:highlight w:val="yellow"/>
          <w:lang w:eastAsia="es-ES"/>
        </w:rPr>
        <w:t>ASSUREUR</w:t>
      </w:r>
      <w:r w:rsidRPr="00C70908">
        <w:rPr>
          <w:color w:val="000000"/>
          <w:szCs w:val="20"/>
          <w:lang w:eastAsia="es-ES"/>
        </w:rPr>
        <w:t>], [</w:t>
      </w:r>
      <w:r w:rsidRPr="00C70908">
        <w:rPr>
          <w:color w:val="000000"/>
          <w:szCs w:val="20"/>
          <w:highlight w:val="yellow"/>
          <w:lang w:eastAsia="es-ES"/>
        </w:rPr>
        <w:t>forme juridique</w:t>
      </w:r>
      <w:r w:rsidRPr="00C70908">
        <w:rPr>
          <w:color w:val="000000"/>
          <w:szCs w:val="20"/>
          <w:lang w:eastAsia="es-ES"/>
        </w:rPr>
        <w:t>] au capital de [</w:t>
      </w:r>
      <w:r w:rsidRPr="00C70908">
        <w:rPr>
          <w:color w:val="000000"/>
          <w:szCs w:val="20"/>
          <w:highlight w:val="yellow"/>
          <w:lang w:eastAsia="es-ES"/>
        </w:rPr>
        <w:t>capital</w:t>
      </w:r>
      <w:r w:rsidRPr="00C70908">
        <w:rPr>
          <w:color w:val="000000"/>
          <w:szCs w:val="20"/>
          <w:lang w:eastAsia="es-ES"/>
        </w:rPr>
        <w:t>] euros, immatriculée sous le numéro [</w:t>
      </w:r>
      <w:r w:rsidRPr="00C70908">
        <w:rPr>
          <w:color w:val="000000"/>
          <w:szCs w:val="20"/>
          <w:highlight w:val="yellow"/>
          <w:lang w:eastAsia="es-ES"/>
        </w:rPr>
        <w:t>numéro de RCS</w:t>
      </w:r>
      <w:r w:rsidRPr="00C70908">
        <w:rPr>
          <w:color w:val="000000"/>
          <w:szCs w:val="20"/>
          <w:lang w:eastAsia="es-ES"/>
        </w:rPr>
        <w:t>] au RCS de [</w:t>
      </w:r>
      <w:r w:rsidRPr="00C70908">
        <w:rPr>
          <w:color w:val="000000"/>
          <w:szCs w:val="20"/>
          <w:highlight w:val="yellow"/>
          <w:lang w:eastAsia="es-ES"/>
        </w:rPr>
        <w:t>ville du RCS</w:t>
      </w:r>
      <w:r w:rsidRPr="00C70908">
        <w:rPr>
          <w:color w:val="000000"/>
          <w:szCs w:val="20"/>
          <w:lang w:eastAsia="es-ES"/>
        </w:rPr>
        <w:t>], dont le siège social est : [</w:t>
      </w:r>
      <w:r w:rsidRPr="00C70908">
        <w:rPr>
          <w:color w:val="000000"/>
          <w:szCs w:val="20"/>
          <w:highlight w:val="yellow"/>
          <w:lang w:eastAsia="es-ES"/>
        </w:rPr>
        <w:t>adresse] [code postal] [ville</w:t>
      </w:r>
      <w:r w:rsidRPr="00C70908">
        <w:rPr>
          <w:color w:val="000000"/>
          <w:szCs w:val="20"/>
          <w:lang w:eastAsia="es-ES"/>
        </w:rPr>
        <w:t xml:space="preserve">) </w:t>
      </w:r>
      <w:r w:rsidR="00AD5130" w:rsidRPr="00C70908">
        <w:rPr>
          <w:szCs w:val="20"/>
        </w:rPr>
        <w:t>;</w:t>
      </w:r>
    </w:p>
    <w:p w14:paraId="276058ED" w14:textId="77777777" w:rsidR="00851157" w:rsidRPr="00C70908" w:rsidRDefault="00851157" w:rsidP="00C70908">
      <w:pPr>
        <w:rPr>
          <w:szCs w:val="20"/>
        </w:rPr>
      </w:pPr>
    </w:p>
    <w:p w14:paraId="198BBA53" w14:textId="77777777" w:rsidR="00C70908" w:rsidRPr="00C70908" w:rsidRDefault="00C70908" w:rsidP="00C70908">
      <w:pPr>
        <w:rPr>
          <w:bCs/>
          <w:szCs w:val="20"/>
        </w:rPr>
      </w:pPr>
    </w:p>
    <w:p w14:paraId="76A2E26F" w14:textId="30D29357" w:rsidR="00C70908" w:rsidRPr="00C70908" w:rsidRDefault="00AD5130" w:rsidP="00C70908">
      <w:pPr>
        <w:rPr>
          <w:bCs/>
          <w:szCs w:val="20"/>
        </w:rPr>
      </w:pPr>
      <w:r w:rsidRPr="00C70908">
        <w:rPr>
          <w:bCs/>
          <w:szCs w:val="20"/>
        </w:rPr>
        <w:t>Ci-après</w:t>
      </w:r>
      <w:r w:rsidRPr="00C70908">
        <w:rPr>
          <w:bCs/>
          <w:spacing w:val="-11"/>
          <w:szCs w:val="20"/>
        </w:rPr>
        <w:t xml:space="preserve"> </w:t>
      </w:r>
      <w:r w:rsidRPr="00C70908">
        <w:rPr>
          <w:bCs/>
          <w:szCs w:val="20"/>
        </w:rPr>
        <w:t>«</w:t>
      </w:r>
      <w:r w:rsidRPr="00C70908">
        <w:rPr>
          <w:bCs/>
          <w:spacing w:val="-9"/>
          <w:szCs w:val="20"/>
        </w:rPr>
        <w:t xml:space="preserve"> </w:t>
      </w:r>
      <w:r w:rsidR="00611550">
        <w:rPr>
          <w:bCs/>
          <w:szCs w:val="20"/>
        </w:rPr>
        <w:t>l’Assureur</w:t>
      </w:r>
      <w:r w:rsidR="00611550" w:rsidRPr="00C70908">
        <w:rPr>
          <w:bCs/>
          <w:szCs w:val="20"/>
        </w:rPr>
        <w:t xml:space="preserve"> »</w:t>
      </w:r>
      <w:r w:rsidRPr="00C70908">
        <w:rPr>
          <w:bCs/>
          <w:szCs w:val="20"/>
        </w:rPr>
        <w:t xml:space="preserve"> </w:t>
      </w:r>
    </w:p>
    <w:p w14:paraId="5DDCADBD" w14:textId="77777777" w:rsidR="00C70908" w:rsidRDefault="00C70908" w:rsidP="00C70908">
      <w:pPr>
        <w:rPr>
          <w:bCs/>
          <w:szCs w:val="20"/>
        </w:rPr>
      </w:pPr>
    </w:p>
    <w:p w14:paraId="189D1AC2" w14:textId="77777777" w:rsidR="00C70908" w:rsidRPr="00C70908" w:rsidRDefault="00C70908" w:rsidP="00C70908">
      <w:pPr>
        <w:rPr>
          <w:bCs/>
          <w:szCs w:val="20"/>
        </w:rPr>
      </w:pPr>
    </w:p>
    <w:p w14:paraId="276058EE" w14:textId="61D5B063" w:rsidR="00851157" w:rsidRPr="00C70908" w:rsidRDefault="00C70908" w:rsidP="00C70908">
      <w:pPr>
        <w:rPr>
          <w:bCs/>
          <w:szCs w:val="20"/>
        </w:rPr>
      </w:pPr>
      <w:r w:rsidRPr="00611550">
        <w:rPr>
          <w:b/>
          <w:szCs w:val="20"/>
        </w:rPr>
        <w:t>Envers</w:t>
      </w:r>
      <w:r w:rsidR="00AD5130" w:rsidRPr="00C70908">
        <w:rPr>
          <w:bCs/>
          <w:szCs w:val="20"/>
        </w:rPr>
        <w:t>,</w:t>
      </w:r>
    </w:p>
    <w:p w14:paraId="49E40B47" w14:textId="77777777" w:rsidR="00C70908" w:rsidRDefault="00C70908" w:rsidP="00C70908">
      <w:pPr>
        <w:rPr>
          <w:bCs/>
          <w:szCs w:val="20"/>
        </w:rPr>
      </w:pPr>
    </w:p>
    <w:p w14:paraId="662F4EE2" w14:textId="77777777" w:rsidR="00C70908" w:rsidRPr="00C70908" w:rsidRDefault="00C70908" w:rsidP="00C70908">
      <w:pPr>
        <w:rPr>
          <w:bCs/>
          <w:szCs w:val="20"/>
        </w:rPr>
      </w:pPr>
    </w:p>
    <w:p w14:paraId="276058F3" w14:textId="76021B73" w:rsidR="00851157" w:rsidRPr="00C70908" w:rsidRDefault="00B44ED9" w:rsidP="00C70908">
      <w:pPr>
        <w:rPr>
          <w:bCs/>
          <w:szCs w:val="20"/>
        </w:rPr>
      </w:pPr>
      <w:r w:rsidRPr="00C70908">
        <w:rPr>
          <w:bCs/>
          <w:szCs w:val="20"/>
        </w:rPr>
        <w:t>La Caisse des dépôts et consignations, établissement spécial créé par la loi du 28 avril 1816 et codifié aux articles L518-2 et suivants du Code Monétaire et Financier, dont le siège est au 56, rue de Lille Paris 7</w:t>
      </w:r>
      <w:r w:rsidRPr="00C70908">
        <w:rPr>
          <w:bCs/>
          <w:szCs w:val="20"/>
          <w:vertAlign w:val="superscript"/>
        </w:rPr>
        <w:t>ème</w:t>
      </w:r>
      <w:r w:rsidR="008D4901" w:rsidRPr="00C70908">
        <w:rPr>
          <w:bCs/>
          <w:szCs w:val="20"/>
        </w:rPr>
        <w:t> ;</w:t>
      </w:r>
    </w:p>
    <w:p w14:paraId="2F051DFC" w14:textId="77777777" w:rsidR="00CB7425" w:rsidRDefault="00CB7425" w:rsidP="00C70908">
      <w:pPr>
        <w:rPr>
          <w:bCs/>
          <w:szCs w:val="20"/>
        </w:rPr>
      </w:pPr>
    </w:p>
    <w:p w14:paraId="467D6C29" w14:textId="77777777" w:rsidR="00C70908" w:rsidRPr="00C70908" w:rsidRDefault="00C70908" w:rsidP="00C70908">
      <w:pPr>
        <w:rPr>
          <w:bCs/>
          <w:szCs w:val="20"/>
        </w:rPr>
      </w:pPr>
    </w:p>
    <w:p w14:paraId="54FCECD7" w14:textId="24278802" w:rsidR="00CB7425" w:rsidRPr="00C70908" w:rsidRDefault="00CB7425" w:rsidP="00C70908">
      <w:pPr>
        <w:rPr>
          <w:bCs/>
          <w:szCs w:val="20"/>
        </w:rPr>
      </w:pPr>
      <w:r w:rsidRPr="00C70908">
        <w:rPr>
          <w:bCs/>
          <w:szCs w:val="20"/>
        </w:rPr>
        <w:t>Ci-après « </w:t>
      </w:r>
      <w:r w:rsidR="00B43627">
        <w:rPr>
          <w:bCs/>
          <w:szCs w:val="20"/>
        </w:rPr>
        <w:t xml:space="preserve">la </w:t>
      </w:r>
      <w:r w:rsidR="00DD79D5">
        <w:rPr>
          <w:bCs/>
          <w:szCs w:val="20"/>
        </w:rPr>
        <w:t>CDC</w:t>
      </w:r>
      <w:r w:rsidR="00DD79D5" w:rsidRPr="00C70908">
        <w:rPr>
          <w:bCs/>
          <w:szCs w:val="20"/>
        </w:rPr>
        <w:t> </w:t>
      </w:r>
      <w:r w:rsidRPr="00C70908">
        <w:rPr>
          <w:bCs/>
          <w:szCs w:val="20"/>
        </w:rPr>
        <w:t>»</w:t>
      </w:r>
    </w:p>
    <w:p w14:paraId="276058F4" w14:textId="77777777" w:rsidR="00851157" w:rsidRPr="008121D7" w:rsidRDefault="00851157" w:rsidP="008121D7">
      <w:pPr>
        <w:rPr>
          <w:szCs w:val="20"/>
        </w:rPr>
      </w:pPr>
    </w:p>
    <w:p w14:paraId="461EC54F" w14:textId="77777777" w:rsidR="00C70908" w:rsidRPr="008121D7" w:rsidRDefault="00C70908" w:rsidP="008121D7">
      <w:pPr>
        <w:rPr>
          <w:szCs w:val="20"/>
        </w:rPr>
      </w:pPr>
    </w:p>
    <w:p w14:paraId="276058FB" w14:textId="77777777" w:rsidR="00851157" w:rsidRPr="008121D7" w:rsidRDefault="00AD5130" w:rsidP="008121D7">
      <w:pPr>
        <w:pStyle w:val="Paragraphedeliste"/>
        <w:numPr>
          <w:ilvl w:val="0"/>
          <w:numId w:val="1"/>
        </w:numPr>
        <w:tabs>
          <w:tab w:val="left" w:pos="577"/>
        </w:tabs>
        <w:spacing w:before="93"/>
        <w:ind w:right="0" w:hanging="361"/>
        <w:rPr>
          <w:szCs w:val="20"/>
        </w:rPr>
      </w:pPr>
      <w:r w:rsidRPr="008121D7">
        <w:rPr>
          <w:szCs w:val="20"/>
        </w:rPr>
        <w:t>Étant</w:t>
      </w:r>
      <w:r w:rsidRPr="008121D7">
        <w:rPr>
          <w:spacing w:val="-9"/>
          <w:szCs w:val="20"/>
        </w:rPr>
        <w:t xml:space="preserve"> </w:t>
      </w:r>
      <w:r w:rsidRPr="008121D7">
        <w:rPr>
          <w:szCs w:val="20"/>
        </w:rPr>
        <w:t>préalablement</w:t>
      </w:r>
      <w:r w:rsidRPr="008121D7">
        <w:rPr>
          <w:spacing w:val="-10"/>
          <w:szCs w:val="20"/>
        </w:rPr>
        <w:t xml:space="preserve"> </w:t>
      </w:r>
      <w:r w:rsidRPr="008121D7">
        <w:rPr>
          <w:szCs w:val="20"/>
        </w:rPr>
        <w:t>rappelé</w:t>
      </w:r>
      <w:r w:rsidRPr="008121D7">
        <w:rPr>
          <w:spacing w:val="-9"/>
          <w:szCs w:val="20"/>
        </w:rPr>
        <w:t xml:space="preserve"> </w:t>
      </w:r>
      <w:r w:rsidRPr="008121D7">
        <w:rPr>
          <w:szCs w:val="20"/>
        </w:rPr>
        <w:t>que</w:t>
      </w:r>
      <w:r w:rsidRPr="008121D7">
        <w:rPr>
          <w:spacing w:val="-6"/>
          <w:szCs w:val="20"/>
        </w:rPr>
        <w:t xml:space="preserve"> </w:t>
      </w:r>
      <w:r w:rsidRPr="008121D7">
        <w:rPr>
          <w:spacing w:val="-10"/>
          <w:szCs w:val="20"/>
        </w:rPr>
        <w:t>:</w:t>
      </w:r>
    </w:p>
    <w:p w14:paraId="276058FC" w14:textId="77777777" w:rsidR="00851157" w:rsidRPr="008121D7" w:rsidRDefault="00851157" w:rsidP="008121D7">
      <w:pPr>
        <w:pStyle w:val="Corpsdetexte"/>
        <w:spacing w:before="8"/>
      </w:pPr>
    </w:p>
    <w:p w14:paraId="276058FE" w14:textId="7A8D11E9" w:rsidR="00851157" w:rsidRPr="008121D7" w:rsidRDefault="00A20C6A" w:rsidP="008121D7">
      <w:pPr>
        <w:pStyle w:val="Paragraphedeliste"/>
        <w:numPr>
          <w:ilvl w:val="1"/>
          <w:numId w:val="1"/>
        </w:numPr>
        <w:tabs>
          <w:tab w:val="left" w:pos="1009"/>
        </w:tabs>
        <w:spacing w:before="2" w:line="249" w:lineRule="auto"/>
        <w:ind w:right="214"/>
        <w:rPr>
          <w:szCs w:val="20"/>
        </w:rPr>
      </w:pPr>
      <w:r w:rsidRPr="008121D7">
        <w:rPr>
          <w:szCs w:val="20"/>
        </w:rPr>
        <w:t xml:space="preserve">La </w:t>
      </w:r>
      <w:r w:rsidR="00DD79D5">
        <w:rPr>
          <w:szCs w:val="20"/>
        </w:rPr>
        <w:t>CDC</w:t>
      </w:r>
      <w:r w:rsidRPr="008121D7">
        <w:rPr>
          <w:szCs w:val="20"/>
        </w:rPr>
        <w:t xml:space="preserve"> </w:t>
      </w:r>
      <w:r w:rsidR="00DD79D5">
        <w:rPr>
          <w:szCs w:val="20"/>
        </w:rPr>
        <w:t>a publié une procédure de publicité et de mise en concurrence</w:t>
      </w:r>
      <w:r w:rsidR="00EF0AA5" w:rsidRPr="008121D7">
        <w:rPr>
          <w:szCs w:val="20"/>
        </w:rPr>
        <w:t xml:space="preserve"> </w:t>
      </w:r>
      <w:r w:rsidR="00AD5130" w:rsidRPr="008121D7">
        <w:rPr>
          <w:szCs w:val="20"/>
        </w:rPr>
        <w:t>en vue d</w:t>
      </w:r>
      <w:r w:rsidR="00B358FE" w:rsidRPr="008121D7">
        <w:rPr>
          <w:szCs w:val="20"/>
        </w:rPr>
        <w:t xml:space="preserve">e mettre en place </w:t>
      </w:r>
      <w:r w:rsidR="00C54FDB">
        <w:rPr>
          <w:szCs w:val="20"/>
        </w:rPr>
        <w:t xml:space="preserve">des </w:t>
      </w:r>
      <w:r w:rsidR="00C54FDB" w:rsidRPr="00C54FDB">
        <w:rPr>
          <w:szCs w:val="20"/>
        </w:rPr>
        <w:t xml:space="preserve">services d’assurances </w:t>
      </w:r>
      <w:r w:rsidR="009B1370" w:rsidRPr="009B1370">
        <w:rPr>
          <w:b/>
          <w:bCs/>
          <w:szCs w:val="20"/>
        </w:rPr>
        <w:t>Flotte automobile et auto-mission</w:t>
      </w:r>
      <w:r w:rsidR="00C54FDB" w:rsidRPr="00C54FDB">
        <w:rPr>
          <w:szCs w:val="20"/>
        </w:rPr>
        <w:t xml:space="preserve"> pour la Caisse des dépôts et consignations, souscripteur, et des entités affiliées, ainsi que des prestations associées</w:t>
      </w:r>
      <w:r w:rsidR="00C54FDB" w:rsidRPr="00C54FDB" w:rsidDel="00C54FDB">
        <w:rPr>
          <w:szCs w:val="20"/>
        </w:rPr>
        <w:t xml:space="preserve"> </w:t>
      </w:r>
      <w:r w:rsidR="00AD5130" w:rsidRPr="008121D7">
        <w:rPr>
          <w:szCs w:val="20"/>
        </w:rPr>
        <w:t>(ci-après</w:t>
      </w:r>
      <w:r w:rsidR="00AD5130" w:rsidRPr="008121D7">
        <w:rPr>
          <w:spacing w:val="29"/>
          <w:szCs w:val="20"/>
        </w:rPr>
        <w:t xml:space="preserve"> </w:t>
      </w:r>
      <w:r w:rsidR="00DD79D5">
        <w:rPr>
          <w:szCs w:val="20"/>
        </w:rPr>
        <w:t xml:space="preserve">la </w:t>
      </w:r>
      <w:r w:rsidR="00AD5130" w:rsidRPr="008121D7">
        <w:rPr>
          <w:szCs w:val="20"/>
        </w:rPr>
        <w:t>«</w:t>
      </w:r>
      <w:r w:rsidR="00AD5130" w:rsidRPr="008121D7">
        <w:rPr>
          <w:spacing w:val="-6"/>
          <w:szCs w:val="20"/>
        </w:rPr>
        <w:t xml:space="preserve"> </w:t>
      </w:r>
      <w:r w:rsidR="00DD79D5">
        <w:rPr>
          <w:b/>
          <w:szCs w:val="20"/>
        </w:rPr>
        <w:t>Consultation</w:t>
      </w:r>
      <w:r w:rsidR="00DD79D5" w:rsidRPr="008121D7">
        <w:rPr>
          <w:b/>
          <w:spacing w:val="-4"/>
          <w:szCs w:val="20"/>
        </w:rPr>
        <w:t xml:space="preserve"> </w:t>
      </w:r>
      <w:r w:rsidR="00AD5130" w:rsidRPr="008121D7">
        <w:rPr>
          <w:szCs w:val="20"/>
        </w:rPr>
        <w:t>»)</w:t>
      </w:r>
      <w:r w:rsidR="00AD5130" w:rsidRPr="008121D7">
        <w:rPr>
          <w:spacing w:val="-4"/>
          <w:szCs w:val="20"/>
        </w:rPr>
        <w:t xml:space="preserve"> </w:t>
      </w:r>
      <w:r w:rsidR="00AD5130" w:rsidRPr="008121D7">
        <w:rPr>
          <w:spacing w:val="-10"/>
          <w:szCs w:val="20"/>
        </w:rPr>
        <w:t>;</w:t>
      </w:r>
    </w:p>
    <w:p w14:paraId="276058FF" w14:textId="77777777" w:rsidR="00851157" w:rsidRPr="008121D7" w:rsidRDefault="00851157" w:rsidP="008121D7">
      <w:pPr>
        <w:pStyle w:val="Corpsdetexte"/>
        <w:spacing w:before="8"/>
      </w:pPr>
    </w:p>
    <w:p w14:paraId="27605900" w14:textId="77BB5941" w:rsidR="00851157" w:rsidRDefault="00AD5130" w:rsidP="002F24BD">
      <w:pPr>
        <w:pStyle w:val="Paragraphedeliste"/>
        <w:numPr>
          <w:ilvl w:val="1"/>
          <w:numId w:val="1"/>
        </w:numPr>
        <w:tabs>
          <w:tab w:val="left" w:pos="1009"/>
        </w:tabs>
        <w:spacing w:before="1" w:after="60" w:line="250" w:lineRule="auto"/>
        <w:ind w:right="221"/>
        <w:rPr>
          <w:szCs w:val="20"/>
        </w:rPr>
      </w:pPr>
      <w:r w:rsidRPr="008121D7">
        <w:rPr>
          <w:szCs w:val="20"/>
        </w:rPr>
        <w:t xml:space="preserve">Dans le cadre de </w:t>
      </w:r>
      <w:r w:rsidR="00DD79D5">
        <w:rPr>
          <w:szCs w:val="20"/>
        </w:rPr>
        <w:t>la Consultation</w:t>
      </w:r>
      <w:r w:rsidRPr="008121D7">
        <w:rPr>
          <w:szCs w:val="20"/>
        </w:rPr>
        <w:t xml:space="preserve">, </w:t>
      </w:r>
      <w:r w:rsidR="00B358FE" w:rsidRPr="008121D7">
        <w:rPr>
          <w:szCs w:val="20"/>
        </w:rPr>
        <w:t xml:space="preserve">la </w:t>
      </w:r>
      <w:r w:rsidR="00DD79D5">
        <w:rPr>
          <w:szCs w:val="20"/>
        </w:rPr>
        <w:t>CDC</w:t>
      </w:r>
      <w:r w:rsidR="00611550" w:rsidRPr="008121D7">
        <w:rPr>
          <w:szCs w:val="20"/>
        </w:rPr>
        <w:t xml:space="preserve"> </w:t>
      </w:r>
      <w:r w:rsidR="00DD79D5">
        <w:rPr>
          <w:szCs w:val="20"/>
        </w:rPr>
        <w:t>est</w:t>
      </w:r>
      <w:r w:rsidR="00DD79D5" w:rsidRPr="008121D7">
        <w:rPr>
          <w:szCs w:val="20"/>
        </w:rPr>
        <w:t xml:space="preserve"> </w:t>
      </w:r>
      <w:r w:rsidRPr="008121D7">
        <w:rPr>
          <w:szCs w:val="20"/>
        </w:rPr>
        <w:t xml:space="preserve">amenée à communiquer </w:t>
      </w:r>
      <w:r w:rsidR="00DD79D5">
        <w:rPr>
          <w:szCs w:val="20"/>
        </w:rPr>
        <w:t xml:space="preserve">aux candidats qui en font la demande </w:t>
      </w:r>
      <w:r w:rsidRPr="008121D7">
        <w:rPr>
          <w:szCs w:val="20"/>
        </w:rPr>
        <w:t>des informations</w:t>
      </w:r>
      <w:r w:rsidR="002F24BD">
        <w:rPr>
          <w:szCs w:val="20"/>
        </w:rPr>
        <w:t>,</w:t>
      </w:r>
      <w:r w:rsidRPr="008121D7">
        <w:rPr>
          <w:szCs w:val="20"/>
        </w:rPr>
        <w:t xml:space="preserve"> de quelque nature que ce soit et sous quelque forme que ce soit,</w:t>
      </w:r>
      <w:r w:rsidRPr="008121D7">
        <w:rPr>
          <w:spacing w:val="40"/>
          <w:szCs w:val="20"/>
        </w:rPr>
        <w:t xml:space="preserve"> </w:t>
      </w:r>
      <w:r w:rsidRPr="008121D7">
        <w:rPr>
          <w:szCs w:val="20"/>
        </w:rPr>
        <w:t xml:space="preserve">qui sont ci-après dénommées « </w:t>
      </w:r>
      <w:r w:rsidRPr="008121D7">
        <w:rPr>
          <w:b/>
          <w:szCs w:val="20"/>
        </w:rPr>
        <w:t xml:space="preserve">Information(s) Confidentielle(s) </w:t>
      </w:r>
      <w:r w:rsidRPr="008121D7">
        <w:rPr>
          <w:szCs w:val="20"/>
        </w:rPr>
        <w:t>» ;</w:t>
      </w:r>
      <w:r w:rsidR="003E34D9">
        <w:rPr>
          <w:szCs w:val="20"/>
        </w:rPr>
        <w:t xml:space="preserve"> sont, notamment, des Informations Confidentielles :</w:t>
      </w:r>
    </w:p>
    <w:p w14:paraId="5DC404FA" w14:textId="098A3E0B" w:rsidR="003E34D9" w:rsidRDefault="00C54FDB" w:rsidP="002F24BD">
      <w:pPr>
        <w:pStyle w:val="Paragraphedeliste"/>
        <w:numPr>
          <w:ilvl w:val="0"/>
          <w:numId w:val="3"/>
        </w:numPr>
        <w:tabs>
          <w:tab w:val="left" w:pos="1009"/>
        </w:tabs>
        <w:spacing w:before="1" w:after="60" w:line="250" w:lineRule="auto"/>
        <w:ind w:right="221"/>
        <w:rPr>
          <w:szCs w:val="20"/>
        </w:rPr>
      </w:pPr>
      <w:r>
        <w:rPr>
          <w:szCs w:val="20"/>
        </w:rPr>
        <w:t xml:space="preserve">Annexes </w:t>
      </w:r>
      <w:r w:rsidR="009B1370">
        <w:rPr>
          <w:szCs w:val="20"/>
        </w:rPr>
        <w:t xml:space="preserve">au CCTP </w:t>
      </w:r>
      <w:r>
        <w:rPr>
          <w:szCs w:val="20"/>
        </w:rPr>
        <w:t xml:space="preserve">« relevés de sinistralité » </w:t>
      </w:r>
      <w:r w:rsidR="00807327">
        <w:rPr>
          <w:szCs w:val="20"/>
        </w:rPr>
        <w:t>;</w:t>
      </w:r>
    </w:p>
    <w:p w14:paraId="67063A12" w14:textId="559809D6" w:rsidR="00807327" w:rsidRDefault="00807327" w:rsidP="002F24BD">
      <w:pPr>
        <w:pStyle w:val="Paragraphedeliste"/>
        <w:numPr>
          <w:ilvl w:val="0"/>
          <w:numId w:val="3"/>
        </w:numPr>
        <w:tabs>
          <w:tab w:val="left" w:pos="1009"/>
        </w:tabs>
        <w:spacing w:before="1" w:line="249" w:lineRule="auto"/>
        <w:ind w:right="222"/>
        <w:rPr>
          <w:szCs w:val="20"/>
        </w:rPr>
      </w:pPr>
      <w:r>
        <w:rPr>
          <w:szCs w:val="20"/>
        </w:rPr>
        <w:t xml:space="preserve">Et plus généralement, tout document, information, donnée ou élément </w:t>
      </w:r>
      <w:r w:rsidRPr="008121D7">
        <w:rPr>
          <w:szCs w:val="20"/>
        </w:rPr>
        <w:t>de quelque nature que ce soit et sous quelque forme que ce soit</w:t>
      </w:r>
      <w:r>
        <w:rPr>
          <w:szCs w:val="20"/>
        </w:rPr>
        <w:t xml:space="preserve"> se rapportant à la Consultation, à l’exception de ceux rendus publics par la CDC dans le cadre de la Consultation.</w:t>
      </w:r>
    </w:p>
    <w:p w14:paraId="69D6C47D" w14:textId="4AFA724F" w:rsidR="003430DF" w:rsidRDefault="003430DF">
      <w:pPr>
        <w:jc w:val="left"/>
        <w:rPr>
          <w:szCs w:val="20"/>
        </w:rPr>
      </w:pPr>
      <w:r>
        <w:rPr>
          <w:szCs w:val="20"/>
        </w:rPr>
        <w:br w:type="page"/>
      </w:r>
    </w:p>
    <w:p w14:paraId="05000F4E" w14:textId="77777777" w:rsidR="003E34D9" w:rsidRPr="003E34D9" w:rsidRDefault="003E34D9" w:rsidP="002F24BD">
      <w:pPr>
        <w:pStyle w:val="Paragraphedeliste"/>
        <w:rPr>
          <w:szCs w:val="20"/>
        </w:rPr>
      </w:pPr>
    </w:p>
    <w:p w14:paraId="4F7580B0" w14:textId="3B329FE6" w:rsidR="003E34D9" w:rsidRPr="008121D7" w:rsidRDefault="003E34D9" w:rsidP="008121D7">
      <w:pPr>
        <w:pStyle w:val="Paragraphedeliste"/>
        <w:numPr>
          <w:ilvl w:val="1"/>
          <w:numId w:val="1"/>
        </w:numPr>
        <w:tabs>
          <w:tab w:val="left" w:pos="1009"/>
        </w:tabs>
        <w:spacing w:before="1" w:line="249" w:lineRule="auto"/>
        <w:ind w:right="222"/>
        <w:rPr>
          <w:szCs w:val="20"/>
        </w:rPr>
      </w:pPr>
      <w:r>
        <w:rPr>
          <w:szCs w:val="20"/>
        </w:rPr>
        <w:t>En raison de l’intérêt qu’il porte à la Consultation, l’Assureur a demandé à la CDC la communication des Informations Confidentielles ;</w:t>
      </w:r>
    </w:p>
    <w:p w14:paraId="27605901" w14:textId="77777777" w:rsidR="00851157" w:rsidRPr="008121D7" w:rsidRDefault="00851157" w:rsidP="008121D7">
      <w:pPr>
        <w:pStyle w:val="Corpsdetexte"/>
        <w:spacing w:before="1"/>
      </w:pPr>
    </w:p>
    <w:p w14:paraId="27605902" w14:textId="4893532B" w:rsidR="00851157" w:rsidRPr="008121D7" w:rsidRDefault="00AD5130" w:rsidP="008121D7">
      <w:pPr>
        <w:pStyle w:val="Paragraphedeliste"/>
        <w:numPr>
          <w:ilvl w:val="1"/>
          <w:numId w:val="1"/>
        </w:numPr>
        <w:tabs>
          <w:tab w:val="left" w:pos="1009"/>
        </w:tabs>
        <w:spacing w:line="249" w:lineRule="auto"/>
        <w:ind w:right="224"/>
        <w:rPr>
          <w:szCs w:val="20"/>
        </w:rPr>
      </w:pPr>
      <w:r w:rsidRPr="008121D7">
        <w:rPr>
          <w:szCs w:val="20"/>
        </w:rPr>
        <w:t>L</w:t>
      </w:r>
      <w:r w:rsidR="00B43627" w:rsidRPr="008121D7">
        <w:rPr>
          <w:szCs w:val="20"/>
        </w:rPr>
        <w:t xml:space="preserve">’Assureur et </w:t>
      </w:r>
      <w:r w:rsidR="00F37415">
        <w:rPr>
          <w:szCs w:val="20"/>
        </w:rPr>
        <w:t xml:space="preserve">la </w:t>
      </w:r>
      <w:r w:rsidR="00DD79D5">
        <w:rPr>
          <w:szCs w:val="20"/>
        </w:rPr>
        <w:t>CDC</w:t>
      </w:r>
      <w:r w:rsidR="00EF0AA5" w:rsidRPr="008121D7">
        <w:rPr>
          <w:szCs w:val="20"/>
        </w:rPr>
        <w:t xml:space="preserve"> </w:t>
      </w:r>
      <w:r w:rsidRPr="008121D7">
        <w:rPr>
          <w:szCs w:val="20"/>
        </w:rPr>
        <w:t>désirent</w:t>
      </w:r>
      <w:r w:rsidRPr="008121D7">
        <w:rPr>
          <w:spacing w:val="-3"/>
          <w:szCs w:val="20"/>
        </w:rPr>
        <w:t xml:space="preserve"> </w:t>
      </w:r>
      <w:r w:rsidRPr="008121D7">
        <w:rPr>
          <w:szCs w:val="20"/>
        </w:rPr>
        <w:t>arrêter</w:t>
      </w:r>
      <w:r w:rsidRPr="008121D7">
        <w:rPr>
          <w:spacing w:val="-2"/>
          <w:szCs w:val="20"/>
        </w:rPr>
        <w:t xml:space="preserve"> </w:t>
      </w:r>
      <w:r w:rsidRPr="008121D7">
        <w:rPr>
          <w:szCs w:val="20"/>
        </w:rPr>
        <w:t>les</w:t>
      </w:r>
      <w:r w:rsidRPr="008121D7">
        <w:rPr>
          <w:spacing w:val="-2"/>
          <w:szCs w:val="20"/>
        </w:rPr>
        <w:t xml:space="preserve"> </w:t>
      </w:r>
      <w:r w:rsidRPr="008121D7">
        <w:rPr>
          <w:szCs w:val="20"/>
        </w:rPr>
        <w:t>conditions de</w:t>
      </w:r>
      <w:r w:rsidRPr="008121D7">
        <w:rPr>
          <w:spacing w:val="-3"/>
          <w:szCs w:val="20"/>
        </w:rPr>
        <w:t xml:space="preserve"> </w:t>
      </w:r>
      <w:r w:rsidRPr="008121D7">
        <w:rPr>
          <w:szCs w:val="20"/>
        </w:rPr>
        <w:t>divulgation de ces Informations Confidentielles et fixer les règles relatives à leur utilisation et à leur protection et ont convenu de ce qui suit :</w:t>
      </w:r>
    </w:p>
    <w:p w14:paraId="27605903" w14:textId="77777777" w:rsidR="00851157" w:rsidRPr="008121D7" w:rsidRDefault="00851157" w:rsidP="008121D7">
      <w:pPr>
        <w:pStyle w:val="Corpsdetexte"/>
        <w:spacing w:before="1"/>
      </w:pPr>
    </w:p>
    <w:p w14:paraId="27605904" w14:textId="56EA85DE" w:rsidR="00851157" w:rsidRPr="008121D7" w:rsidRDefault="00AD5130" w:rsidP="008121D7">
      <w:pPr>
        <w:pStyle w:val="Paragraphedeliste"/>
        <w:numPr>
          <w:ilvl w:val="0"/>
          <w:numId w:val="1"/>
        </w:numPr>
        <w:tabs>
          <w:tab w:val="left" w:pos="577"/>
        </w:tabs>
        <w:spacing w:line="249" w:lineRule="auto"/>
        <w:rPr>
          <w:szCs w:val="20"/>
        </w:rPr>
      </w:pPr>
      <w:r w:rsidRPr="008121D7">
        <w:rPr>
          <w:szCs w:val="20"/>
        </w:rPr>
        <w:t>Au</w:t>
      </w:r>
      <w:r w:rsidRPr="008121D7">
        <w:rPr>
          <w:spacing w:val="40"/>
          <w:szCs w:val="20"/>
        </w:rPr>
        <w:t xml:space="preserve"> </w:t>
      </w:r>
      <w:r w:rsidRPr="008121D7">
        <w:rPr>
          <w:szCs w:val="20"/>
        </w:rPr>
        <w:t>titre</w:t>
      </w:r>
      <w:r w:rsidRPr="008121D7">
        <w:rPr>
          <w:spacing w:val="40"/>
          <w:szCs w:val="20"/>
        </w:rPr>
        <w:t xml:space="preserve"> </w:t>
      </w:r>
      <w:r w:rsidRPr="008121D7">
        <w:rPr>
          <w:szCs w:val="20"/>
        </w:rPr>
        <w:t>du</w:t>
      </w:r>
      <w:r w:rsidRPr="008121D7">
        <w:rPr>
          <w:spacing w:val="40"/>
          <w:szCs w:val="20"/>
        </w:rPr>
        <w:t xml:space="preserve"> </w:t>
      </w:r>
      <w:r w:rsidRPr="008121D7">
        <w:rPr>
          <w:szCs w:val="20"/>
        </w:rPr>
        <w:t>présent</w:t>
      </w:r>
      <w:r w:rsidRPr="008121D7">
        <w:rPr>
          <w:spacing w:val="40"/>
          <w:szCs w:val="20"/>
        </w:rPr>
        <w:t xml:space="preserve"> </w:t>
      </w:r>
      <w:r w:rsidR="004D6866">
        <w:rPr>
          <w:szCs w:val="20"/>
        </w:rPr>
        <w:t>Engagement</w:t>
      </w:r>
      <w:r w:rsidRPr="008121D7">
        <w:rPr>
          <w:spacing w:val="40"/>
          <w:szCs w:val="20"/>
        </w:rPr>
        <w:t xml:space="preserve"> </w:t>
      </w:r>
      <w:r w:rsidRPr="008121D7">
        <w:rPr>
          <w:szCs w:val="20"/>
        </w:rPr>
        <w:t>de</w:t>
      </w:r>
      <w:r w:rsidRPr="008121D7">
        <w:rPr>
          <w:spacing w:val="40"/>
          <w:szCs w:val="20"/>
        </w:rPr>
        <w:t xml:space="preserve"> </w:t>
      </w:r>
      <w:r w:rsidRPr="008121D7">
        <w:rPr>
          <w:szCs w:val="20"/>
        </w:rPr>
        <w:t>Confidentialité,</w:t>
      </w:r>
      <w:r w:rsidRPr="008121D7">
        <w:rPr>
          <w:spacing w:val="40"/>
          <w:szCs w:val="20"/>
        </w:rPr>
        <w:t xml:space="preserve"> </w:t>
      </w:r>
      <w:r w:rsidR="00EF0AA5" w:rsidRPr="008121D7">
        <w:rPr>
          <w:szCs w:val="20"/>
        </w:rPr>
        <w:t xml:space="preserve">l’Assureur </w:t>
      </w:r>
      <w:r w:rsidR="003B10B5" w:rsidRPr="008121D7">
        <w:rPr>
          <w:szCs w:val="20"/>
        </w:rPr>
        <w:t>s’engage</w:t>
      </w:r>
      <w:r w:rsidRPr="008121D7">
        <w:rPr>
          <w:spacing w:val="40"/>
          <w:szCs w:val="20"/>
        </w:rPr>
        <w:t xml:space="preserve"> </w:t>
      </w:r>
      <w:r w:rsidRPr="008121D7">
        <w:rPr>
          <w:szCs w:val="20"/>
        </w:rPr>
        <w:t>à</w:t>
      </w:r>
      <w:r w:rsidRPr="008121D7">
        <w:rPr>
          <w:spacing w:val="40"/>
          <w:szCs w:val="20"/>
        </w:rPr>
        <w:t xml:space="preserve"> </w:t>
      </w:r>
      <w:r w:rsidRPr="008121D7">
        <w:rPr>
          <w:szCs w:val="20"/>
        </w:rPr>
        <w:t>ce</w:t>
      </w:r>
      <w:r w:rsidRPr="008121D7">
        <w:rPr>
          <w:spacing w:val="40"/>
          <w:szCs w:val="20"/>
        </w:rPr>
        <w:t xml:space="preserve"> </w:t>
      </w:r>
      <w:r w:rsidRPr="008121D7">
        <w:rPr>
          <w:szCs w:val="20"/>
        </w:rPr>
        <w:t>que</w:t>
      </w:r>
      <w:r w:rsidRPr="008121D7">
        <w:rPr>
          <w:spacing w:val="40"/>
          <w:szCs w:val="20"/>
        </w:rPr>
        <w:t xml:space="preserve"> </w:t>
      </w:r>
      <w:r w:rsidRPr="008121D7">
        <w:rPr>
          <w:szCs w:val="20"/>
        </w:rPr>
        <w:t>les</w:t>
      </w:r>
      <w:r w:rsidRPr="008121D7">
        <w:rPr>
          <w:spacing w:val="80"/>
          <w:szCs w:val="20"/>
        </w:rPr>
        <w:t xml:space="preserve"> </w:t>
      </w:r>
      <w:r w:rsidRPr="008121D7">
        <w:rPr>
          <w:szCs w:val="20"/>
        </w:rPr>
        <w:t>Informations Confidentielles qu’</w:t>
      </w:r>
      <w:r w:rsidR="007D1466">
        <w:rPr>
          <w:szCs w:val="20"/>
        </w:rPr>
        <w:t>il</w:t>
      </w:r>
      <w:r w:rsidRPr="008121D7">
        <w:rPr>
          <w:szCs w:val="20"/>
        </w:rPr>
        <w:t xml:space="preserve"> reçoit de </w:t>
      </w:r>
      <w:r w:rsidR="003B10B5" w:rsidRPr="008121D7">
        <w:rPr>
          <w:szCs w:val="20"/>
        </w:rPr>
        <w:t xml:space="preserve">la </w:t>
      </w:r>
      <w:r w:rsidR="00DD79D5">
        <w:rPr>
          <w:szCs w:val="20"/>
        </w:rPr>
        <w:t>CDC</w:t>
      </w:r>
      <w:r w:rsidR="007D1466">
        <w:rPr>
          <w:szCs w:val="20"/>
        </w:rPr>
        <w:t xml:space="preserve"> </w:t>
      </w:r>
      <w:r w:rsidRPr="008121D7">
        <w:rPr>
          <w:szCs w:val="20"/>
        </w:rPr>
        <w:t>:</w:t>
      </w:r>
    </w:p>
    <w:p w14:paraId="27605905" w14:textId="77777777" w:rsidR="00851157" w:rsidRPr="008121D7" w:rsidRDefault="00851157" w:rsidP="008121D7">
      <w:pPr>
        <w:pStyle w:val="Corpsdetexte"/>
      </w:pPr>
    </w:p>
    <w:p w14:paraId="27605906" w14:textId="003B5257" w:rsidR="00851157" w:rsidRPr="008121D7" w:rsidRDefault="00AD5130" w:rsidP="008121D7">
      <w:pPr>
        <w:pStyle w:val="Paragraphedeliste"/>
        <w:numPr>
          <w:ilvl w:val="1"/>
          <w:numId w:val="1"/>
        </w:numPr>
        <w:tabs>
          <w:tab w:val="left" w:pos="1009"/>
        </w:tabs>
        <w:spacing w:line="249" w:lineRule="auto"/>
        <w:ind w:right="223"/>
        <w:rPr>
          <w:szCs w:val="20"/>
        </w:rPr>
      </w:pPr>
      <w:r w:rsidRPr="008121D7">
        <w:rPr>
          <w:szCs w:val="20"/>
        </w:rPr>
        <w:t>soient protégées et</w:t>
      </w:r>
      <w:r w:rsidRPr="008121D7">
        <w:rPr>
          <w:spacing w:val="-2"/>
          <w:szCs w:val="20"/>
        </w:rPr>
        <w:t xml:space="preserve"> </w:t>
      </w:r>
      <w:r w:rsidRPr="008121D7">
        <w:rPr>
          <w:szCs w:val="20"/>
        </w:rPr>
        <w:t>gardées strictement</w:t>
      </w:r>
      <w:r w:rsidRPr="008121D7">
        <w:rPr>
          <w:spacing w:val="-1"/>
          <w:szCs w:val="20"/>
        </w:rPr>
        <w:t xml:space="preserve"> </w:t>
      </w:r>
      <w:r w:rsidRPr="008121D7">
        <w:rPr>
          <w:szCs w:val="20"/>
        </w:rPr>
        <w:t>confidentielles et</w:t>
      </w:r>
      <w:r w:rsidRPr="008121D7">
        <w:rPr>
          <w:spacing w:val="-2"/>
          <w:szCs w:val="20"/>
        </w:rPr>
        <w:t xml:space="preserve"> </w:t>
      </w:r>
      <w:r w:rsidRPr="008121D7">
        <w:rPr>
          <w:szCs w:val="20"/>
        </w:rPr>
        <w:t>soient</w:t>
      </w:r>
      <w:r w:rsidRPr="008121D7">
        <w:rPr>
          <w:spacing w:val="-1"/>
          <w:szCs w:val="20"/>
        </w:rPr>
        <w:t xml:space="preserve"> </w:t>
      </w:r>
      <w:r w:rsidRPr="008121D7">
        <w:rPr>
          <w:szCs w:val="20"/>
        </w:rPr>
        <w:t>traitées</w:t>
      </w:r>
      <w:r w:rsidRPr="008121D7">
        <w:rPr>
          <w:spacing w:val="-1"/>
          <w:szCs w:val="20"/>
        </w:rPr>
        <w:t xml:space="preserve"> </w:t>
      </w:r>
      <w:r w:rsidRPr="008121D7">
        <w:rPr>
          <w:szCs w:val="20"/>
        </w:rPr>
        <w:t>avec</w:t>
      </w:r>
      <w:r w:rsidRPr="008121D7">
        <w:rPr>
          <w:spacing w:val="-1"/>
          <w:szCs w:val="20"/>
        </w:rPr>
        <w:t xml:space="preserve"> </w:t>
      </w:r>
      <w:r w:rsidRPr="008121D7">
        <w:rPr>
          <w:szCs w:val="20"/>
        </w:rPr>
        <w:t>le même</w:t>
      </w:r>
      <w:r w:rsidRPr="008121D7">
        <w:rPr>
          <w:spacing w:val="-2"/>
          <w:szCs w:val="20"/>
        </w:rPr>
        <w:t xml:space="preserve"> </w:t>
      </w:r>
      <w:r w:rsidRPr="008121D7">
        <w:rPr>
          <w:szCs w:val="20"/>
        </w:rPr>
        <w:t>degré de précaution et de protection qu'</w:t>
      </w:r>
      <w:r w:rsidR="00745177">
        <w:rPr>
          <w:szCs w:val="20"/>
        </w:rPr>
        <w:t>il</w:t>
      </w:r>
      <w:r w:rsidRPr="008121D7">
        <w:rPr>
          <w:szCs w:val="20"/>
        </w:rPr>
        <w:t xml:space="preserve"> accorde à ses propres informations confidentielles, mais en aucun cas en deçà de mesures de protection raisonnables ;</w:t>
      </w:r>
    </w:p>
    <w:p w14:paraId="27605907" w14:textId="77777777" w:rsidR="00851157" w:rsidRPr="008121D7" w:rsidRDefault="00851157" w:rsidP="008121D7">
      <w:pPr>
        <w:pStyle w:val="Corpsdetexte"/>
        <w:spacing w:before="1"/>
      </w:pPr>
    </w:p>
    <w:p w14:paraId="6C93F787" w14:textId="09BE0946" w:rsidR="009E05DC" w:rsidRPr="008121D7" w:rsidRDefault="00AD5130" w:rsidP="008121D7">
      <w:pPr>
        <w:pStyle w:val="Paragraphedeliste"/>
        <w:numPr>
          <w:ilvl w:val="1"/>
          <w:numId w:val="1"/>
        </w:numPr>
        <w:tabs>
          <w:tab w:val="left" w:pos="1009"/>
        </w:tabs>
        <w:spacing w:before="87" w:line="252" w:lineRule="auto"/>
        <w:ind w:right="226"/>
        <w:rPr>
          <w:szCs w:val="20"/>
        </w:rPr>
      </w:pPr>
      <w:r w:rsidRPr="008121D7">
        <w:rPr>
          <w:szCs w:val="20"/>
        </w:rPr>
        <w:t xml:space="preserve">ne soient pas utilisées, totalement ou partiellement, dans un autre but que </w:t>
      </w:r>
      <w:r w:rsidR="003E34D9">
        <w:rPr>
          <w:szCs w:val="20"/>
        </w:rPr>
        <w:t>de déposer une offre auprès de la CDC dans le cadre de la Consultation</w:t>
      </w:r>
      <w:r w:rsidRPr="008121D7">
        <w:rPr>
          <w:szCs w:val="20"/>
        </w:rPr>
        <w:t xml:space="preserve"> </w:t>
      </w:r>
      <w:r w:rsidR="002F24BD">
        <w:rPr>
          <w:szCs w:val="20"/>
        </w:rPr>
        <w:t xml:space="preserve">ou l’exécution du marché d’assurances qui serait éventuellement conclu entre la CDC et l’Assureur au terme de la Consultation </w:t>
      </w:r>
      <w:r w:rsidRPr="008121D7">
        <w:rPr>
          <w:szCs w:val="20"/>
        </w:rPr>
        <w:t>;</w:t>
      </w:r>
    </w:p>
    <w:p w14:paraId="038BED8F" w14:textId="77777777" w:rsidR="009E05DC" w:rsidRPr="008121D7" w:rsidRDefault="009E05DC" w:rsidP="008121D7">
      <w:pPr>
        <w:pStyle w:val="Paragraphedeliste"/>
        <w:rPr>
          <w:szCs w:val="20"/>
        </w:rPr>
      </w:pPr>
    </w:p>
    <w:p w14:paraId="2760590A" w14:textId="52B49EC4" w:rsidR="00851157" w:rsidRPr="008121D7" w:rsidRDefault="00AD5130" w:rsidP="008121D7">
      <w:pPr>
        <w:pStyle w:val="Paragraphedeliste"/>
        <w:numPr>
          <w:ilvl w:val="1"/>
          <w:numId w:val="1"/>
        </w:numPr>
        <w:tabs>
          <w:tab w:val="left" w:pos="1009"/>
        </w:tabs>
        <w:spacing w:before="87" w:line="252" w:lineRule="auto"/>
        <w:ind w:right="226"/>
        <w:rPr>
          <w:szCs w:val="20"/>
        </w:rPr>
      </w:pPr>
      <w:r w:rsidRPr="008121D7">
        <w:rPr>
          <w:szCs w:val="20"/>
        </w:rPr>
        <w:t xml:space="preserve">ne soient divulguées directement ou indirectement qu'aux Personnes Autorisées et ne soient utilisées par ces dernières que dans le cadre de </w:t>
      </w:r>
      <w:r w:rsidR="003E34D9">
        <w:rPr>
          <w:szCs w:val="20"/>
        </w:rPr>
        <w:t xml:space="preserve">la Consultation ou du marché public </w:t>
      </w:r>
      <w:r w:rsidR="00C54FDB">
        <w:rPr>
          <w:szCs w:val="20"/>
        </w:rPr>
        <w:t xml:space="preserve">ou accord-cadre </w:t>
      </w:r>
      <w:r w:rsidR="003E34D9">
        <w:rPr>
          <w:szCs w:val="20"/>
        </w:rPr>
        <w:t>qui en résulterait</w:t>
      </w:r>
      <w:r w:rsidRPr="008121D7">
        <w:rPr>
          <w:szCs w:val="20"/>
        </w:rPr>
        <w:t xml:space="preserve"> ;</w:t>
      </w:r>
    </w:p>
    <w:p w14:paraId="2760590B" w14:textId="77777777" w:rsidR="00851157" w:rsidRPr="008121D7" w:rsidRDefault="00851157" w:rsidP="008121D7">
      <w:pPr>
        <w:pStyle w:val="Corpsdetexte"/>
        <w:spacing w:before="8"/>
      </w:pPr>
    </w:p>
    <w:p w14:paraId="20EA4DC2" w14:textId="59C44F59" w:rsidR="009E05DC" w:rsidRPr="008121D7" w:rsidRDefault="00AD5130" w:rsidP="008121D7">
      <w:pPr>
        <w:pStyle w:val="Paragraphedeliste"/>
        <w:numPr>
          <w:ilvl w:val="0"/>
          <w:numId w:val="1"/>
        </w:numPr>
        <w:tabs>
          <w:tab w:val="left" w:pos="577"/>
        </w:tabs>
        <w:spacing w:line="249" w:lineRule="auto"/>
        <w:ind w:right="214"/>
        <w:rPr>
          <w:szCs w:val="20"/>
        </w:rPr>
      </w:pPr>
      <w:r w:rsidRPr="008121D7">
        <w:rPr>
          <w:szCs w:val="20"/>
        </w:rPr>
        <w:t xml:space="preserve">Pour les besoins de cet </w:t>
      </w:r>
      <w:r w:rsidR="004D6866">
        <w:rPr>
          <w:szCs w:val="20"/>
        </w:rPr>
        <w:t>Engagement</w:t>
      </w:r>
      <w:r w:rsidR="004D6866" w:rsidRPr="008121D7">
        <w:rPr>
          <w:spacing w:val="40"/>
          <w:szCs w:val="20"/>
        </w:rPr>
        <w:t xml:space="preserve"> </w:t>
      </w:r>
      <w:r w:rsidRPr="008121D7">
        <w:rPr>
          <w:szCs w:val="20"/>
        </w:rPr>
        <w:t>de Confidentialité</w:t>
      </w:r>
      <w:r w:rsidR="00852918">
        <w:rPr>
          <w:szCs w:val="20"/>
        </w:rPr>
        <w:t>,</w:t>
      </w:r>
      <w:r w:rsidRPr="008121D7">
        <w:rPr>
          <w:szCs w:val="20"/>
        </w:rPr>
        <w:t xml:space="preserve"> sont considérés comme des « </w:t>
      </w:r>
      <w:r w:rsidRPr="008121D7">
        <w:rPr>
          <w:b/>
          <w:szCs w:val="20"/>
        </w:rPr>
        <w:t>Personnes Autorisées</w:t>
      </w:r>
      <w:r w:rsidRPr="008121D7">
        <w:rPr>
          <w:b/>
          <w:spacing w:val="-3"/>
          <w:szCs w:val="20"/>
        </w:rPr>
        <w:t xml:space="preserve"> </w:t>
      </w:r>
      <w:r w:rsidRPr="008121D7">
        <w:rPr>
          <w:szCs w:val="20"/>
        </w:rPr>
        <w:t xml:space="preserve">», toute personne autorisée par </w:t>
      </w:r>
      <w:r w:rsidR="00EF0AA5" w:rsidRPr="008121D7">
        <w:rPr>
          <w:szCs w:val="20"/>
        </w:rPr>
        <w:t xml:space="preserve">l’Assureur </w:t>
      </w:r>
      <w:r w:rsidRPr="008121D7">
        <w:rPr>
          <w:szCs w:val="20"/>
        </w:rPr>
        <w:t xml:space="preserve">à en connaître et qui répond </w:t>
      </w:r>
      <w:r w:rsidR="002F24BD">
        <w:rPr>
          <w:szCs w:val="20"/>
        </w:rPr>
        <w:t>aux</w:t>
      </w:r>
      <w:r w:rsidRPr="008121D7">
        <w:rPr>
          <w:szCs w:val="20"/>
        </w:rPr>
        <w:t xml:space="preserve"> qualités suivantes :</w:t>
      </w:r>
    </w:p>
    <w:p w14:paraId="7ECF3F23" w14:textId="77777777" w:rsidR="002F24BD" w:rsidRDefault="00AD5130" w:rsidP="008121D7">
      <w:pPr>
        <w:pStyle w:val="Paragraphedeliste"/>
        <w:numPr>
          <w:ilvl w:val="0"/>
          <w:numId w:val="2"/>
        </w:numPr>
        <w:tabs>
          <w:tab w:val="left" w:pos="577"/>
        </w:tabs>
        <w:spacing w:line="249" w:lineRule="auto"/>
        <w:ind w:right="214"/>
        <w:rPr>
          <w:szCs w:val="20"/>
        </w:rPr>
      </w:pPr>
      <w:r w:rsidRPr="008121D7">
        <w:rPr>
          <w:szCs w:val="20"/>
        </w:rPr>
        <w:t>Maison mère ou filiale d</w:t>
      </w:r>
      <w:r w:rsidR="009E05DC" w:rsidRPr="008121D7">
        <w:rPr>
          <w:szCs w:val="20"/>
        </w:rPr>
        <w:t>e l</w:t>
      </w:r>
      <w:r w:rsidR="00611550" w:rsidRPr="008121D7">
        <w:rPr>
          <w:szCs w:val="20"/>
        </w:rPr>
        <w:t>’Assureur</w:t>
      </w:r>
      <w:r w:rsidRPr="008121D7">
        <w:rPr>
          <w:szCs w:val="20"/>
        </w:rPr>
        <w:t>, un de leurs dirigeants, administrateurs, employés, consultants ou auditeurs</w:t>
      </w:r>
      <w:r w:rsidR="002F24BD">
        <w:rPr>
          <w:szCs w:val="20"/>
        </w:rPr>
        <w:t> ;</w:t>
      </w:r>
    </w:p>
    <w:p w14:paraId="2760590F" w14:textId="787C7E02" w:rsidR="00851157" w:rsidRPr="008121D7" w:rsidRDefault="002F24BD" w:rsidP="008121D7">
      <w:pPr>
        <w:pStyle w:val="Paragraphedeliste"/>
        <w:numPr>
          <w:ilvl w:val="0"/>
          <w:numId w:val="2"/>
        </w:numPr>
        <w:tabs>
          <w:tab w:val="left" w:pos="577"/>
        </w:tabs>
        <w:spacing w:line="249" w:lineRule="auto"/>
        <w:ind w:right="214"/>
        <w:rPr>
          <w:szCs w:val="20"/>
        </w:rPr>
      </w:pPr>
      <w:r>
        <w:rPr>
          <w:szCs w:val="20"/>
        </w:rPr>
        <w:t xml:space="preserve">Auxquelles la divulgation des Informations Confidentielles est strictement nécessaire au dépôt d’une offre </w:t>
      </w:r>
      <w:r w:rsidR="00CF11FE">
        <w:rPr>
          <w:szCs w:val="20"/>
        </w:rPr>
        <w:t xml:space="preserve">par l’Assureur </w:t>
      </w:r>
      <w:r>
        <w:rPr>
          <w:szCs w:val="20"/>
        </w:rPr>
        <w:t>auprès de la CDC dans le cadre de la Consultation</w:t>
      </w:r>
      <w:r w:rsidRPr="008121D7">
        <w:rPr>
          <w:szCs w:val="20"/>
        </w:rPr>
        <w:t xml:space="preserve"> </w:t>
      </w:r>
      <w:r>
        <w:rPr>
          <w:szCs w:val="20"/>
        </w:rPr>
        <w:t xml:space="preserve">ou à l’exécution du marché </w:t>
      </w:r>
      <w:r w:rsidR="00C54FDB">
        <w:rPr>
          <w:szCs w:val="20"/>
        </w:rPr>
        <w:t xml:space="preserve">ou accord-cadre </w:t>
      </w:r>
      <w:r>
        <w:rPr>
          <w:szCs w:val="20"/>
        </w:rPr>
        <w:t>d’assurances qui serait éventuellement conclu entre la CDC et l’Assureur au terme de la Consultation.</w:t>
      </w:r>
    </w:p>
    <w:p w14:paraId="27605910" w14:textId="77777777" w:rsidR="00851157" w:rsidRPr="008121D7" w:rsidRDefault="00851157" w:rsidP="008121D7">
      <w:pPr>
        <w:pStyle w:val="Corpsdetexte"/>
        <w:spacing w:before="2"/>
      </w:pPr>
    </w:p>
    <w:p w14:paraId="27605911" w14:textId="024370B3" w:rsidR="00851157" w:rsidRPr="008121D7" w:rsidRDefault="00AD5130" w:rsidP="008121D7">
      <w:pPr>
        <w:pStyle w:val="Paragraphedeliste"/>
        <w:numPr>
          <w:ilvl w:val="0"/>
          <w:numId w:val="1"/>
        </w:numPr>
        <w:tabs>
          <w:tab w:val="left" w:pos="577"/>
        </w:tabs>
        <w:ind w:right="0" w:hanging="361"/>
        <w:rPr>
          <w:szCs w:val="20"/>
        </w:rPr>
      </w:pPr>
      <w:r w:rsidRPr="008121D7">
        <w:rPr>
          <w:szCs w:val="20"/>
        </w:rPr>
        <w:t>Cet</w:t>
      </w:r>
      <w:r w:rsidRPr="008121D7">
        <w:rPr>
          <w:spacing w:val="-9"/>
          <w:szCs w:val="20"/>
        </w:rPr>
        <w:t xml:space="preserve"> </w:t>
      </w:r>
      <w:r w:rsidR="004D6866">
        <w:rPr>
          <w:szCs w:val="20"/>
        </w:rPr>
        <w:t>Engagement</w:t>
      </w:r>
      <w:r w:rsidR="004D6866" w:rsidRPr="008121D7">
        <w:rPr>
          <w:spacing w:val="40"/>
          <w:szCs w:val="20"/>
        </w:rPr>
        <w:t xml:space="preserve"> </w:t>
      </w:r>
      <w:r w:rsidRPr="008121D7">
        <w:rPr>
          <w:szCs w:val="20"/>
        </w:rPr>
        <w:t>de</w:t>
      </w:r>
      <w:r w:rsidRPr="008121D7">
        <w:rPr>
          <w:spacing w:val="-10"/>
          <w:szCs w:val="20"/>
        </w:rPr>
        <w:t xml:space="preserve"> </w:t>
      </w:r>
      <w:r w:rsidRPr="008121D7">
        <w:rPr>
          <w:szCs w:val="20"/>
        </w:rPr>
        <w:t>Confidentialité</w:t>
      </w:r>
      <w:r w:rsidRPr="008121D7">
        <w:rPr>
          <w:spacing w:val="-9"/>
          <w:szCs w:val="20"/>
        </w:rPr>
        <w:t xml:space="preserve"> </w:t>
      </w:r>
      <w:r w:rsidRPr="008121D7">
        <w:rPr>
          <w:szCs w:val="20"/>
        </w:rPr>
        <w:t>ne</w:t>
      </w:r>
      <w:r w:rsidRPr="008121D7">
        <w:rPr>
          <w:spacing w:val="-7"/>
          <w:szCs w:val="20"/>
        </w:rPr>
        <w:t xml:space="preserve"> </w:t>
      </w:r>
      <w:r w:rsidRPr="008121D7">
        <w:rPr>
          <w:szCs w:val="20"/>
        </w:rPr>
        <w:t>s'applique</w:t>
      </w:r>
      <w:r w:rsidRPr="008121D7">
        <w:rPr>
          <w:spacing w:val="-7"/>
          <w:szCs w:val="20"/>
        </w:rPr>
        <w:t xml:space="preserve"> </w:t>
      </w:r>
      <w:r w:rsidRPr="008121D7">
        <w:rPr>
          <w:szCs w:val="20"/>
        </w:rPr>
        <w:t>pas</w:t>
      </w:r>
      <w:r w:rsidRPr="008121D7">
        <w:rPr>
          <w:spacing w:val="-8"/>
          <w:szCs w:val="20"/>
        </w:rPr>
        <w:t xml:space="preserve"> </w:t>
      </w:r>
      <w:r w:rsidRPr="008121D7">
        <w:rPr>
          <w:szCs w:val="20"/>
        </w:rPr>
        <w:t>aux</w:t>
      </w:r>
      <w:r w:rsidRPr="008121D7">
        <w:rPr>
          <w:spacing w:val="-7"/>
          <w:szCs w:val="20"/>
        </w:rPr>
        <w:t xml:space="preserve"> </w:t>
      </w:r>
      <w:r w:rsidRPr="008121D7">
        <w:rPr>
          <w:szCs w:val="20"/>
        </w:rPr>
        <w:t>informations</w:t>
      </w:r>
      <w:r w:rsidRPr="008121D7">
        <w:rPr>
          <w:spacing w:val="-3"/>
          <w:szCs w:val="20"/>
        </w:rPr>
        <w:t xml:space="preserve"> </w:t>
      </w:r>
      <w:r w:rsidRPr="008121D7">
        <w:rPr>
          <w:spacing w:val="-10"/>
          <w:szCs w:val="20"/>
        </w:rPr>
        <w:t>:</w:t>
      </w:r>
    </w:p>
    <w:p w14:paraId="27605912" w14:textId="77777777" w:rsidR="00851157" w:rsidRPr="008121D7" w:rsidRDefault="00851157" w:rsidP="008121D7">
      <w:pPr>
        <w:pStyle w:val="Corpsdetexte"/>
        <w:spacing w:before="9"/>
      </w:pPr>
    </w:p>
    <w:p w14:paraId="27605913" w14:textId="022324E4" w:rsidR="00851157" w:rsidRPr="008121D7" w:rsidRDefault="00AD5130" w:rsidP="008121D7">
      <w:pPr>
        <w:pStyle w:val="Paragraphedeliste"/>
        <w:numPr>
          <w:ilvl w:val="1"/>
          <w:numId w:val="1"/>
        </w:numPr>
        <w:tabs>
          <w:tab w:val="left" w:pos="1009"/>
        </w:tabs>
        <w:spacing w:line="249" w:lineRule="auto"/>
        <w:ind w:right="221"/>
        <w:rPr>
          <w:szCs w:val="20"/>
        </w:rPr>
      </w:pPr>
      <w:r w:rsidRPr="008121D7">
        <w:rPr>
          <w:szCs w:val="20"/>
        </w:rPr>
        <w:t xml:space="preserve">pour lesquelles </w:t>
      </w:r>
      <w:r w:rsidR="00611550" w:rsidRPr="008121D7">
        <w:rPr>
          <w:szCs w:val="20"/>
        </w:rPr>
        <w:t xml:space="preserve">l’Assureur </w:t>
      </w:r>
      <w:r w:rsidRPr="008121D7">
        <w:rPr>
          <w:szCs w:val="20"/>
        </w:rPr>
        <w:t xml:space="preserve">peut prouver que ces informations étaient en sa possession à la date de signature du présent </w:t>
      </w:r>
      <w:r w:rsidR="004D6866">
        <w:rPr>
          <w:szCs w:val="20"/>
        </w:rPr>
        <w:t>Engagement</w:t>
      </w:r>
      <w:r w:rsidR="004D6866" w:rsidRPr="008121D7">
        <w:rPr>
          <w:spacing w:val="40"/>
          <w:szCs w:val="20"/>
        </w:rPr>
        <w:t xml:space="preserve"> </w:t>
      </w:r>
      <w:r w:rsidRPr="008121D7">
        <w:rPr>
          <w:szCs w:val="20"/>
        </w:rPr>
        <w:t>de Confidentialité ou antérieurement à leur divulgation par l</w:t>
      </w:r>
      <w:r w:rsidR="000D5144" w:rsidRPr="008121D7">
        <w:rPr>
          <w:szCs w:val="20"/>
        </w:rPr>
        <w:t xml:space="preserve">a </w:t>
      </w:r>
      <w:r w:rsidR="00DD79D5">
        <w:rPr>
          <w:szCs w:val="20"/>
        </w:rPr>
        <w:t>CDC</w:t>
      </w:r>
      <w:r w:rsidR="00611550" w:rsidRPr="008121D7">
        <w:rPr>
          <w:szCs w:val="20"/>
        </w:rPr>
        <w:t xml:space="preserve"> </w:t>
      </w:r>
      <w:r w:rsidRPr="008121D7">
        <w:rPr>
          <w:szCs w:val="20"/>
        </w:rPr>
        <w:t>;</w:t>
      </w:r>
    </w:p>
    <w:p w14:paraId="27605914" w14:textId="77777777" w:rsidR="00851157" w:rsidRPr="008121D7" w:rsidRDefault="00851157" w:rsidP="008121D7">
      <w:pPr>
        <w:pStyle w:val="Corpsdetexte"/>
        <w:spacing w:before="1"/>
      </w:pPr>
    </w:p>
    <w:p w14:paraId="27605915" w14:textId="194AE7AB" w:rsidR="00851157" w:rsidRPr="008121D7" w:rsidRDefault="00AD5130" w:rsidP="008121D7">
      <w:pPr>
        <w:pStyle w:val="Paragraphedeliste"/>
        <w:numPr>
          <w:ilvl w:val="1"/>
          <w:numId w:val="1"/>
        </w:numPr>
        <w:tabs>
          <w:tab w:val="left" w:pos="1009"/>
        </w:tabs>
        <w:spacing w:line="249" w:lineRule="auto"/>
        <w:rPr>
          <w:szCs w:val="20"/>
        </w:rPr>
      </w:pPr>
      <w:r w:rsidRPr="008121D7">
        <w:rPr>
          <w:szCs w:val="20"/>
        </w:rPr>
        <w:t xml:space="preserve">qui sont du domaine public, sans que cela soit dû à une divulgation de </w:t>
      </w:r>
      <w:r w:rsidR="00611550" w:rsidRPr="008121D7">
        <w:rPr>
          <w:szCs w:val="20"/>
        </w:rPr>
        <w:t xml:space="preserve">l’Assureur </w:t>
      </w:r>
      <w:r w:rsidRPr="008121D7">
        <w:rPr>
          <w:szCs w:val="20"/>
        </w:rPr>
        <w:t>qui les a reçues ;</w:t>
      </w:r>
    </w:p>
    <w:p w14:paraId="27605916" w14:textId="77777777" w:rsidR="00851157" w:rsidRPr="008121D7" w:rsidRDefault="00851157" w:rsidP="008121D7">
      <w:pPr>
        <w:pStyle w:val="Corpsdetexte"/>
      </w:pPr>
    </w:p>
    <w:p w14:paraId="27605917" w14:textId="69A63E5F" w:rsidR="00851157" w:rsidRPr="008121D7" w:rsidRDefault="00AD5130" w:rsidP="008121D7">
      <w:pPr>
        <w:pStyle w:val="Paragraphedeliste"/>
        <w:numPr>
          <w:ilvl w:val="1"/>
          <w:numId w:val="1"/>
        </w:numPr>
        <w:tabs>
          <w:tab w:val="left" w:pos="1009"/>
        </w:tabs>
        <w:spacing w:before="1" w:line="249" w:lineRule="auto"/>
        <w:ind w:right="223"/>
        <w:rPr>
          <w:szCs w:val="20"/>
        </w:rPr>
      </w:pPr>
      <w:r w:rsidRPr="008121D7">
        <w:rPr>
          <w:szCs w:val="20"/>
        </w:rPr>
        <w:t>qui auront</w:t>
      </w:r>
      <w:r w:rsidRPr="008121D7">
        <w:rPr>
          <w:spacing w:val="-2"/>
          <w:szCs w:val="20"/>
        </w:rPr>
        <w:t xml:space="preserve"> </w:t>
      </w:r>
      <w:r w:rsidRPr="008121D7">
        <w:rPr>
          <w:szCs w:val="20"/>
        </w:rPr>
        <w:t>été</w:t>
      </w:r>
      <w:r w:rsidRPr="008121D7">
        <w:rPr>
          <w:spacing w:val="-2"/>
          <w:szCs w:val="20"/>
        </w:rPr>
        <w:t xml:space="preserve"> </w:t>
      </w:r>
      <w:r w:rsidR="003E34D9">
        <w:rPr>
          <w:spacing w:val="-2"/>
          <w:szCs w:val="20"/>
        </w:rPr>
        <w:t xml:space="preserve">légalement </w:t>
      </w:r>
      <w:r w:rsidRPr="008121D7">
        <w:rPr>
          <w:szCs w:val="20"/>
        </w:rPr>
        <w:t>communiquées</w:t>
      </w:r>
      <w:r w:rsidRPr="008121D7">
        <w:rPr>
          <w:spacing w:val="-1"/>
          <w:szCs w:val="20"/>
        </w:rPr>
        <w:t xml:space="preserve"> </w:t>
      </w:r>
      <w:r w:rsidRPr="008121D7">
        <w:rPr>
          <w:szCs w:val="20"/>
        </w:rPr>
        <w:t>à</w:t>
      </w:r>
      <w:r w:rsidRPr="008121D7">
        <w:rPr>
          <w:spacing w:val="-2"/>
          <w:szCs w:val="20"/>
        </w:rPr>
        <w:t xml:space="preserve"> </w:t>
      </w:r>
      <w:r w:rsidR="00611550" w:rsidRPr="008121D7">
        <w:rPr>
          <w:szCs w:val="20"/>
        </w:rPr>
        <w:t xml:space="preserve">l’Assureur </w:t>
      </w:r>
      <w:r w:rsidRPr="008121D7">
        <w:rPr>
          <w:szCs w:val="20"/>
        </w:rPr>
        <w:t>par</w:t>
      </w:r>
      <w:r w:rsidRPr="008121D7">
        <w:rPr>
          <w:spacing w:val="-1"/>
          <w:szCs w:val="20"/>
        </w:rPr>
        <w:t xml:space="preserve"> </w:t>
      </w:r>
      <w:r w:rsidRPr="008121D7">
        <w:rPr>
          <w:szCs w:val="20"/>
        </w:rPr>
        <w:t>un</w:t>
      </w:r>
      <w:r w:rsidRPr="008121D7">
        <w:rPr>
          <w:spacing w:val="-2"/>
          <w:szCs w:val="20"/>
        </w:rPr>
        <w:t xml:space="preserve"> </w:t>
      </w:r>
      <w:r w:rsidRPr="008121D7">
        <w:rPr>
          <w:szCs w:val="20"/>
        </w:rPr>
        <w:t>tiers,</w:t>
      </w:r>
      <w:r w:rsidRPr="008121D7">
        <w:rPr>
          <w:spacing w:val="-2"/>
          <w:szCs w:val="20"/>
        </w:rPr>
        <w:t xml:space="preserve"> </w:t>
      </w:r>
      <w:r w:rsidRPr="008121D7">
        <w:rPr>
          <w:szCs w:val="20"/>
        </w:rPr>
        <w:t>de plein droit</w:t>
      </w:r>
      <w:r w:rsidRPr="008121D7">
        <w:rPr>
          <w:spacing w:val="-2"/>
          <w:szCs w:val="20"/>
        </w:rPr>
        <w:t xml:space="preserve"> </w:t>
      </w:r>
      <w:r w:rsidRPr="008121D7">
        <w:rPr>
          <w:szCs w:val="20"/>
        </w:rPr>
        <w:t>et</w:t>
      </w:r>
      <w:r w:rsidRPr="008121D7">
        <w:rPr>
          <w:spacing w:val="-2"/>
          <w:szCs w:val="20"/>
        </w:rPr>
        <w:t xml:space="preserve"> </w:t>
      </w:r>
      <w:r w:rsidRPr="008121D7">
        <w:rPr>
          <w:szCs w:val="20"/>
        </w:rPr>
        <w:t>sans l'intervention de l</w:t>
      </w:r>
      <w:r w:rsidR="00FF516C" w:rsidRPr="008121D7">
        <w:rPr>
          <w:szCs w:val="20"/>
        </w:rPr>
        <w:t xml:space="preserve">a </w:t>
      </w:r>
      <w:r w:rsidR="00DD79D5">
        <w:rPr>
          <w:szCs w:val="20"/>
        </w:rPr>
        <w:t>CDC</w:t>
      </w:r>
      <w:r w:rsidR="00611550" w:rsidRPr="008121D7">
        <w:rPr>
          <w:szCs w:val="20"/>
        </w:rPr>
        <w:t xml:space="preserve"> </w:t>
      </w:r>
      <w:r w:rsidRPr="008121D7">
        <w:rPr>
          <w:szCs w:val="20"/>
        </w:rPr>
        <w:t>;</w:t>
      </w:r>
    </w:p>
    <w:p w14:paraId="27605918" w14:textId="77777777" w:rsidR="00851157" w:rsidRPr="008121D7" w:rsidRDefault="00851157" w:rsidP="008121D7">
      <w:pPr>
        <w:pStyle w:val="Corpsdetexte"/>
      </w:pPr>
    </w:p>
    <w:p w14:paraId="27605919" w14:textId="29B3BCA6" w:rsidR="00851157" w:rsidRPr="008121D7" w:rsidRDefault="00AD5130" w:rsidP="008121D7">
      <w:pPr>
        <w:pStyle w:val="Paragraphedeliste"/>
        <w:numPr>
          <w:ilvl w:val="1"/>
          <w:numId w:val="1"/>
        </w:numPr>
        <w:tabs>
          <w:tab w:val="left" w:pos="1009"/>
        </w:tabs>
        <w:spacing w:line="249" w:lineRule="auto"/>
        <w:ind w:right="214"/>
        <w:rPr>
          <w:szCs w:val="20"/>
        </w:rPr>
      </w:pPr>
      <w:r w:rsidRPr="008121D7">
        <w:rPr>
          <w:szCs w:val="20"/>
        </w:rPr>
        <w:t xml:space="preserve">qu’il est nécessaire de porter à la connaissance d’autres intervenants professionnels tels que les </w:t>
      </w:r>
      <w:proofErr w:type="spellStart"/>
      <w:r w:rsidRPr="008121D7">
        <w:rPr>
          <w:szCs w:val="20"/>
        </w:rPr>
        <w:t>co</w:t>
      </w:r>
      <w:proofErr w:type="spellEnd"/>
      <w:r w:rsidRPr="008121D7">
        <w:rPr>
          <w:szCs w:val="20"/>
        </w:rPr>
        <w:t>-assureurs, réassureurs, experts, avocats ou conseils indépendants de</w:t>
      </w:r>
      <w:r w:rsidR="00FF516C" w:rsidRPr="008121D7">
        <w:rPr>
          <w:szCs w:val="20"/>
        </w:rPr>
        <w:t xml:space="preserve"> </w:t>
      </w:r>
      <w:r w:rsidR="00611550" w:rsidRPr="008121D7">
        <w:rPr>
          <w:szCs w:val="20"/>
        </w:rPr>
        <w:t xml:space="preserve">l’Assureur </w:t>
      </w:r>
      <w:r w:rsidRPr="008121D7">
        <w:rPr>
          <w:szCs w:val="20"/>
        </w:rPr>
        <w:t>qui seraient amenés à intervenir dans le cadre de l’Objectif ou dans le cadre du programme d’assurance considéré qui sera</w:t>
      </w:r>
      <w:r w:rsidR="00096085">
        <w:rPr>
          <w:szCs w:val="20"/>
        </w:rPr>
        <w:t>it</w:t>
      </w:r>
      <w:r w:rsidRPr="008121D7">
        <w:rPr>
          <w:szCs w:val="20"/>
        </w:rPr>
        <w:t xml:space="preserve"> souscrit par </w:t>
      </w:r>
      <w:r w:rsidR="001E293A" w:rsidRPr="008121D7">
        <w:rPr>
          <w:szCs w:val="20"/>
        </w:rPr>
        <w:t xml:space="preserve">la </w:t>
      </w:r>
      <w:r w:rsidR="00DD79D5">
        <w:rPr>
          <w:szCs w:val="20"/>
        </w:rPr>
        <w:t>CDC</w:t>
      </w:r>
      <w:r w:rsidRPr="008121D7">
        <w:rPr>
          <w:szCs w:val="20"/>
        </w:rPr>
        <w:t>, le cas échéant ;</w:t>
      </w:r>
    </w:p>
    <w:p w14:paraId="2760591A" w14:textId="77777777" w:rsidR="00851157" w:rsidRPr="008121D7" w:rsidRDefault="00851157" w:rsidP="008121D7">
      <w:pPr>
        <w:pStyle w:val="Corpsdetexte"/>
        <w:spacing w:before="9"/>
      </w:pPr>
    </w:p>
    <w:p w14:paraId="2760591B" w14:textId="3C3FE0F5" w:rsidR="00851157" w:rsidRPr="008121D7" w:rsidRDefault="00AD5130" w:rsidP="008121D7">
      <w:pPr>
        <w:pStyle w:val="Corpsdetexte"/>
        <w:ind w:left="1008" w:right="226" w:hanging="432"/>
      </w:pPr>
      <w:r w:rsidRPr="008121D7">
        <w:t>4.5</w:t>
      </w:r>
      <w:r w:rsidRPr="008121D7">
        <w:rPr>
          <w:spacing w:val="80"/>
        </w:rPr>
        <w:t xml:space="preserve"> </w:t>
      </w:r>
      <w:r w:rsidRPr="008121D7">
        <w:t>qu'il est nécessaire de divulguer pour obtempérer à toute injonction ou convocation judiciaire ou toute autre procédure légale ou administrative</w:t>
      </w:r>
      <w:r w:rsidR="003E34D9">
        <w:t xml:space="preserve"> faisant obligation à l’Assureur de les divulguer</w:t>
      </w:r>
      <w:r w:rsidRPr="008121D7">
        <w:t>.</w:t>
      </w:r>
    </w:p>
    <w:p w14:paraId="2760591C" w14:textId="77777777" w:rsidR="00851157" w:rsidRPr="008121D7" w:rsidRDefault="00851157" w:rsidP="008121D7">
      <w:pPr>
        <w:pStyle w:val="Corpsdetexte"/>
        <w:spacing w:before="10"/>
      </w:pPr>
    </w:p>
    <w:p w14:paraId="2760591D" w14:textId="139A0330" w:rsidR="00851157" w:rsidRPr="008121D7" w:rsidRDefault="00AD5130" w:rsidP="008121D7">
      <w:pPr>
        <w:pStyle w:val="Corpsdetexte"/>
        <w:spacing w:before="1"/>
        <w:ind w:left="576" w:right="72"/>
      </w:pPr>
      <w:r w:rsidRPr="008121D7">
        <w:t>La</w:t>
      </w:r>
      <w:r w:rsidRPr="008121D7">
        <w:rPr>
          <w:spacing w:val="-4"/>
        </w:rPr>
        <w:t xml:space="preserve"> </w:t>
      </w:r>
      <w:r w:rsidRPr="008121D7">
        <w:t>charge</w:t>
      </w:r>
      <w:r w:rsidRPr="008121D7">
        <w:rPr>
          <w:spacing w:val="-2"/>
        </w:rPr>
        <w:t xml:space="preserve"> </w:t>
      </w:r>
      <w:r w:rsidRPr="008121D7">
        <w:t>de</w:t>
      </w:r>
      <w:r w:rsidRPr="008121D7">
        <w:rPr>
          <w:spacing w:val="-2"/>
        </w:rPr>
        <w:t xml:space="preserve"> </w:t>
      </w:r>
      <w:r w:rsidRPr="008121D7">
        <w:t>la</w:t>
      </w:r>
      <w:r w:rsidRPr="008121D7">
        <w:rPr>
          <w:spacing w:val="-4"/>
        </w:rPr>
        <w:t xml:space="preserve"> </w:t>
      </w:r>
      <w:r w:rsidRPr="008121D7">
        <w:t>preuve</w:t>
      </w:r>
      <w:r w:rsidRPr="008121D7">
        <w:rPr>
          <w:spacing w:val="-2"/>
        </w:rPr>
        <w:t xml:space="preserve"> </w:t>
      </w:r>
      <w:r w:rsidRPr="008121D7">
        <w:t>de ces exceptions</w:t>
      </w:r>
      <w:r w:rsidRPr="008121D7">
        <w:rPr>
          <w:spacing w:val="-3"/>
        </w:rPr>
        <w:t xml:space="preserve"> </w:t>
      </w:r>
      <w:r w:rsidRPr="008121D7">
        <w:t>sera</w:t>
      </w:r>
      <w:r w:rsidRPr="008121D7">
        <w:rPr>
          <w:spacing w:val="-1"/>
        </w:rPr>
        <w:t xml:space="preserve"> </w:t>
      </w:r>
      <w:r w:rsidR="001E293A" w:rsidRPr="008121D7">
        <w:t xml:space="preserve">supportée par </w:t>
      </w:r>
      <w:r w:rsidR="00611550" w:rsidRPr="008121D7">
        <w:t xml:space="preserve">l’Assureur </w:t>
      </w:r>
      <w:r w:rsidR="001E293A" w:rsidRPr="008121D7">
        <w:t>qui s’en prévaudrait</w:t>
      </w:r>
      <w:r w:rsidRPr="008121D7">
        <w:t>.</w:t>
      </w:r>
    </w:p>
    <w:p w14:paraId="2760591E" w14:textId="77777777" w:rsidR="00851157" w:rsidRPr="008121D7" w:rsidRDefault="00851157" w:rsidP="008121D7">
      <w:pPr>
        <w:pStyle w:val="Corpsdetexte"/>
        <w:spacing w:before="4"/>
      </w:pPr>
    </w:p>
    <w:p w14:paraId="2760591F" w14:textId="525B5F1A" w:rsidR="00851157" w:rsidRDefault="00611550" w:rsidP="008121D7">
      <w:pPr>
        <w:pStyle w:val="Paragraphedeliste"/>
        <w:numPr>
          <w:ilvl w:val="0"/>
          <w:numId w:val="1"/>
        </w:numPr>
        <w:tabs>
          <w:tab w:val="left" w:pos="577"/>
        </w:tabs>
        <w:spacing w:line="249" w:lineRule="auto"/>
        <w:rPr>
          <w:szCs w:val="20"/>
        </w:rPr>
      </w:pPr>
      <w:r w:rsidRPr="008121D7">
        <w:rPr>
          <w:szCs w:val="20"/>
        </w:rPr>
        <w:t xml:space="preserve">L’Assureur </w:t>
      </w:r>
      <w:r w:rsidR="00AD5130" w:rsidRPr="008121D7">
        <w:rPr>
          <w:szCs w:val="20"/>
        </w:rPr>
        <w:t xml:space="preserve">s’engage à faire respecter les obligations du présent </w:t>
      </w:r>
      <w:r w:rsidR="004D6866">
        <w:rPr>
          <w:szCs w:val="20"/>
        </w:rPr>
        <w:t>Engagement</w:t>
      </w:r>
      <w:r w:rsidR="004D6866" w:rsidRPr="008121D7">
        <w:rPr>
          <w:spacing w:val="40"/>
          <w:szCs w:val="20"/>
        </w:rPr>
        <w:t xml:space="preserve"> </w:t>
      </w:r>
      <w:r w:rsidR="00AD5130" w:rsidRPr="008121D7">
        <w:rPr>
          <w:szCs w:val="20"/>
        </w:rPr>
        <w:t>de Confidentialité par les Personnes Autorisées.</w:t>
      </w:r>
    </w:p>
    <w:p w14:paraId="165C54A5" w14:textId="6541387F" w:rsidR="003430DF" w:rsidRDefault="003430DF">
      <w:pPr>
        <w:jc w:val="left"/>
        <w:rPr>
          <w:szCs w:val="20"/>
        </w:rPr>
      </w:pPr>
      <w:r>
        <w:rPr>
          <w:szCs w:val="20"/>
        </w:rPr>
        <w:br w:type="page"/>
      </w:r>
    </w:p>
    <w:p w14:paraId="1221496A" w14:textId="77777777" w:rsidR="003E34D9" w:rsidRDefault="003E34D9" w:rsidP="003E34D9">
      <w:pPr>
        <w:tabs>
          <w:tab w:val="left" w:pos="577"/>
        </w:tabs>
        <w:spacing w:line="249" w:lineRule="auto"/>
        <w:rPr>
          <w:szCs w:val="20"/>
        </w:rPr>
      </w:pPr>
    </w:p>
    <w:p w14:paraId="27605921" w14:textId="7C767767" w:rsidR="00851157" w:rsidRPr="008121D7" w:rsidRDefault="00953AAD" w:rsidP="008121D7">
      <w:pPr>
        <w:pStyle w:val="Paragraphedeliste"/>
        <w:numPr>
          <w:ilvl w:val="0"/>
          <w:numId w:val="1"/>
        </w:numPr>
        <w:tabs>
          <w:tab w:val="left" w:pos="577"/>
        </w:tabs>
        <w:spacing w:line="249" w:lineRule="auto"/>
        <w:ind w:right="216"/>
        <w:rPr>
          <w:szCs w:val="20"/>
        </w:rPr>
      </w:pPr>
      <w:r w:rsidRPr="008121D7">
        <w:rPr>
          <w:szCs w:val="20"/>
        </w:rPr>
        <w:t>La</w:t>
      </w:r>
      <w:r w:rsidR="00AD5130" w:rsidRPr="008121D7">
        <w:rPr>
          <w:szCs w:val="20"/>
        </w:rPr>
        <w:t xml:space="preserve"> connaissance par </w:t>
      </w:r>
      <w:r w:rsidR="00611550" w:rsidRPr="008121D7">
        <w:rPr>
          <w:szCs w:val="20"/>
        </w:rPr>
        <w:t xml:space="preserve">l’Assureur </w:t>
      </w:r>
      <w:r w:rsidR="00AD5130" w:rsidRPr="008121D7">
        <w:rPr>
          <w:szCs w:val="20"/>
        </w:rPr>
        <w:t xml:space="preserve">d'Informations Confidentielles au titre du présent </w:t>
      </w:r>
      <w:r w:rsidR="004D6866">
        <w:rPr>
          <w:szCs w:val="20"/>
        </w:rPr>
        <w:t>Engagement</w:t>
      </w:r>
      <w:r w:rsidR="004D6866" w:rsidRPr="008121D7">
        <w:rPr>
          <w:spacing w:val="40"/>
          <w:szCs w:val="20"/>
        </w:rPr>
        <w:t xml:space="preserve"> </w:t>
      </w:r>
      <w:r w:rsidR="00AD5130" w:rsidRPr="008121D7">
        <w:rPr>
          <w:szCs w:val="20"/>
        </w:rPr>
        <w:t>de Confidentialité ne peut en aucun cas être interprétée comme</w:t>
      </w:r>
      <w:r w:rsidR="00AD5130" w:rsidRPr="008121D7">
        <w:rPr>
          <w:spacing w:val="-1"/>
          <w:szCs w:val="20"/>
        </w:rPr>
        <w:t xml:space="preserve"> </w:t>
      </w:r>
      <w:r w:rsidR="00AD5130" w:rsidRPr="008121D7">
        <w:rPr>
          <w:szCs w:val="20"/>
        </w:rPr>
        <w:t>conférant</w:t>
      </w:r>
      <w:r w:rsidR="00AD5130" w:rsidRPr="008121D7">
        <w:rPr>
          <w:spacing w:val="-1"/>
          <w:szCs w:val="20"/>
        </w:rPr>
        <w:t xml:space="preserve"> </w:t>
      </w:r>
      <w:r w:rsidR="00AD5130" w:rsidRPr="008121D7">
        <w:rPr>
          <w:szCs w:val="20"/>
        </w:rPr>
        <w:t>de</w:t>
      </w:r>
      <w:r w:rsidR="00AD5130" w:rsidRPr="008121D7">
        <w:rPr>
          <w:spacing w:val="-2"/>
          <w:szCs w:val="20"/>
        </w:rPr>
        <w:t xml:space="preserve"> </w:t>
      </w:r>
      <w:r w:rsidR="00AD5130" w:rsidRPr="008121D7">
        <w:rPr>
          <w:szCs w:val="20"/>
        </w:rPr>
        <w:t>manière</w:t>
      </w:r>
      <w:r w:rsidR="00AD5130" w:rsidRPr="008121D7">
        <w:rPr>
          <w:spacing w:val="-1"/>
          <w:szCs w:val="20"/>
        </w:rPr>
        <w:t xml:space="preserve"> </w:t>
      </w:r>
      <w:r w:rsidR="00AD5130" w:rsidRPr="008121D7">
        <w:rPr>
          <w:szCs w:val="20"/>
        </w:rPr>
        <w:t>expresse</w:t>
      </w:r>
      <w:r w:rsidR="00AD5130" w:rsidRPr="008121D7">
        <w:rPr>
          <w:spacing w:val="-1"/>
          <w:szCs w:val="20"/>
        </w:rPr>
        <w:t xml:space="preserve"> </w:t>
      </w:r>
      <w:r w:rsidR="00AD5130" w:rsidRPr="008121D7">
        <w:rPr>
          <w:szCs w:val="20"/>
        </w:rPr>
        <w:t>ou</w:t>
      </w:r>
      <w:r w:rsidR="00AD5130" w:rsidRPr="008121D7">
        <w:rPr>
          <w:spacing w:val="-2"/>
          <w:szCs w:val="20"/>
        </w:rPr>
        <w:t xml:space="preserve"> </w:t>
      </w:r>
      <w:r w:rsidR="00AD5130" w:rsidRPr="008121D7">
        <w:rPr>
          <w:szCs w:val="20"/>
        </w:rPr>
        <w:t>implicite</w:t>
      </w:r>
      <w:r w:rsidR="00AD5130" w:rsidRPr="008121D7">
        <w:rPr>
          <w:spacing w:val="-1"/>
          <w:szCs w:val="20"/>
        </w:rPr>
        <w:t xml:space="preserve"> </w:t>
      </w:r>
      <w:r w:rsidR="00AD5130" w:rsidRPr="008121D7">
        <w:rPr>
          <w:szCs w:val="20"/>
        </w:rPr>
        <w:t>à</w:t>
      </w:r>
      <w:r w:rsidR="00AD5130" w:rsidRPr="008121D7">
        <w:rPr>
          <w:spacing w:val="-1"/>
          <w:szCs w:val="20"/>
        </w:rPr>
        <w:t xml:space="preserve"> </w:t>
      </w:r>
      <w:r w:rsidR="00611550" w:rsidRPr="008121D7">
        <w:rPr>
          <w:szCs w:val="20"/>
        </w:rPr>
        <w:t xml:space="preserve">l’Assureur </w:t>
      </w:r>
      <w:r w:rsidR="00AD5130" w:rsidRPr="008121D7">
        <w:rPr>
          <w:szCs w:val="20"/>
        </w:rPr>
        <w:t>un</w:t>
      </w:r>
      <w:r w:rsidR="00AD5130" w:rsidRPr="008121D7">
        <w:rPr>
          <w:spacing w:val="-2"/>
          <w:szCs w:val="20"/>
        </w:rPr>
        <w:t xml:space="preserve"> </w:t>
      </w:r>
      <w:r w:rsidR="00AD5130" w:rsidRPr="008121D7">
        <w:rPr>
          <w:szCs w:val="20"/>
        </w:rPr>
        <w:t>droit</w:t>
      </w:r>
      <w:r w:rsidR="00AD5130" w:rsidRPr="008121D7">
        <w:rPr>
          <w:spacing w:val="-1"/>
          <w:szCs w:val="20"/>
        </w:rPr>
        <w:t xml:space="preserve"> </w:t>
      </w:r>
      <w:r w:rsidR="00AD5130" w:rsidRPr="008121D7">
        <w:rPr>
          <w:szCs w:val="20"/>
        </w:rPr>
        <w:t>quelconque</w:t>
      </w:r>
      <w:r w:rsidR="00AD5130" w:rsidRPr="008121D7">
        <w:rPr>
          <w:spacing w:val="-1"/>
          <w:szCs w:val="20"/>
        </w:rPr>
        <w:t xml:space="preserve"> </w:t>
      </w:r>
      <w:r w:rsidR="00AD5130" w:rsidRPr="008121D7">
        <w:rPr>
          <w:szCs w:val="20"/>
        </w:rPr>
        <w:t>(aux termes d'une licence ou par tout autre moyen) sur les matières, les inventions, les logiciels ou les découvertes auxquelles se rapportent ces Informations Confidentielles. Il en est de même en ce qui concerne les droits d'auteur ou autres droits attachés à la propriété littéraire et artistique (copyright), les marques de fabrique ou le secret des affaires.</w:t>
      </w:r>
    </w:p>
    <w:p w14:paraId="27605922" w14:textId="77777777" w:rsidR="00851157" w:rsidRPr="008121D7" w:rsidRDefault="00851157" w:rsidP="008121D7">
      <w:pPr>
        <w:pStyle w:val="Corpsdetexte"/>
        <w:spacing w:before="5"/>
      </w:pPr>
    </w:p>
    <w:p w14:paraId="27605923" w14:textId="6F58E2A0" w:rsidR="00851157" w:rsidRPr="008121D7" w:rsidRDefault="00AD5130" w:rsidP="008121D7">
      <w:pPr>
        <w:pStyle w:val="Paragraphedeliste"/>
        <w:numPr>
          <w:ilvl w:val="0"/>
          <w:numId w:val="1"/>
        </w:numPr>
        <w:tabs>
          <w:tab w:val="left" w:pos="577"/>
        </w:tabs>
        <w:spacing w:line="249" w:lineRule="auto"/>
        <w:ind w:right="226"/>
        <w:rPr>
          <w:szCs w:val="20"/>
        </w:rPr>
      </w:pPr>
      <w:r w:rsidRPr="008121D7">
        <w:rPr>
          <w:szCs w:val="20"/>
        </w:rPr>
        <w:t xml:space="preserve">Toutes les informations Confidentielles et leurs reproductions, dont </w:t>
      </w:r>
      <w:r w:rsidR="00611550" w:rsidRPr="008121D7">
        <w:rPr>
          <w:szCs w:val="20"/>
        </w:rPr>
        <w:t xml:space="preserve">l’Assureur </w:t>
      </w:r>
      <w:r w:rsidRPr="008121D7">
        <w:rPr>
          <w:szCs w:val="20"/>
        </w:rPr>
        <w:t xml:space="preserve">aura eu connaissance, resteront la propriété de </w:t>
      </w:r>
      <w:r w:rsidR="00F75BAA" w:rsidRPr="008121D7">
        <w:rPr>
          <w:szCs w:val="20"/>
        </w:rPr>
        <w:t xml:space="preserve">la </w:t>
      </w:r>
      <w:r w:rsidR="00DD79D5">
        <w:rPr>
          <w:szCs w:val="20"/>
        </w:rPr>
        <w:t>CDC</w:t>
      </w:r>
      <w:r w:rsidRPr="008121D7">
        <w:rPr>
          <w:szCs w:val="20"/>
        </w:rPr>
        <w:t>, sans préjudice des droits des tiers.</w:t>
      </w:r>
    </w:p>
    <w:p w14:paraId="2760592C" w14:textId="77777777" w:rsidR="00851157" w:rsidRPr="008121D7" w:rsidRDefault="00851157" w:rsidP="008121D7">
      <w:pPr>
        <w:pStyle w:val="Corpsdetexte"/>
        <w:spacing w:before="8"/>
      </w:pPr>
    </w:p>
    <w:p w14:paraId="2760592D" w14:textId="2CD408C0" w:rsidR="00851157" w:rsidRPr="008121D7" w:rsidRDefault="00AD5130" w:rsidP="008121D7">
      <w:pPr>
        <w:pStyle w:val="Paragraphedeliste"/>
        <w:numPr>
          <w:ilvl w:val="0"/>
          <w:numId w:val="1"/>
        </w:numPr>
        <w:tabs>
          <w:tab w:val="left" w:pos="577"/>
        </w:tabs>
        <w:ind w:right="0" w:hanging="361"/>
        <w:rPr>
          <w:szCs w:val="20"/>
        </w:rPr>
      </w:pPr>
      <w:r w:rsidRPr="008121D7">
        <w:rPr>
          <w:szCs w:val="20"/>
        </w:rPr>
        <w:t>Le</w:t>
      </w:r>
      <w:r w:rsidRPr="008121D7">
        <w:rPr>
          <w:spacing w:val="-8"/>
          <w:szCs w:val="20"/>
        </w:rPr>
        <w:t xml:space="preserve"> </w:t>
      </w:r>
      <w:r w:rsidRPr="008121D7">
        <w:rPr>
          <w:szCs w:val="20"/>
        </w:rPr>
        <w:t>présent</w:t>
      </w:r>
      <w:r w:rsidRPr="008121D7">
        <w:rPr>
          <w:spacing w:val="-5"/>
          <w:szCs w:val="20"/>
        </w:rPr>
        <w:t xml:space="preserve"> </w:t>
      </w:r>
      <w:r w:rsidR="008121D7" w:rsidRPr="008121D7">
        <w:rPr>
          <w:szCs w:val="20"/>
        </w:rPr>
        <w:t>Engagement</w:t>
      </w:r>
      <w:r w:rsidRPr="008121D7">
        <w:rPr>
          <w:spacing w:val="-7"/>
          <w:szCs w:val="20"/>
        </w:rPr>
        <w:t xml:space="preserve"> </w:t>
      </w:r>
      <w:r w:rsidRPr="008121D7">
        <w:rPr>
          <w:szCs w:val="20"/>
        </w:rPr>
        <w:t>de</w:t>
      </w:r>
      <w:r w:rsidRPr="008121D7">
        <w:rPr>
          <w:spacing w:val="-7"/>
          <w:szCs w:val="20"/>
        </w:rPr>
        <w:t xml:space="preserve"> </w:t>
      </w:r>
      <w:r w:rsidRPr="008121D7">
        <w:rPr>
          <w:szCs w:val="20"/>
        </w:rPr>
        <w:t>Confidentialité</w:t>
      </w:r>
      <w:r w:rsidRPr="008121D7">
        <w:rPr>
          <w:spacing w:val="-7"/>
          <w:szCs w:val="20"/>
        </w:rPr>
        <w:t xml:space="preserve"> </w:t>
      </w:r>
      <w:r w:rsidRPr="008121D7">
        <w:rPr>
          <w:szCs w:val="20"/>
        </w:rPr>
        <w:t>est</w:t>
      </w:r>
      <w:r w:rsidRPr="008121D7">
        <w:rPr>
          <w:spacing w:val="-7"/>
          <w:szCs w:val="20"/>
        </w:rPr>
        <w:t xml:space="preserve"> </w:t>
      </w:r>
      <w:r w:rsidRPr="008121D7">
        <w:rPr>
          <w:szCs w:val="20"/>
        </w:rPr>
        <w:t>soumis</w:t>
      </w:r>
      <w:r w:rsidRPr="008121D7">
        <w:rPr>
          <w:spacing w:val="-4"/>
          <w:szCs w:val="20"/>
        </w:rPr>
        <w:t xml:space="preserve"> </w:t>
      </w:r>
      <w:r w:rsidRPr="008121D7">
        <w:rPr>
          <w:szCs w:val="20"/>
        </w:rPr>
        <w:t>au</w:t>
      </w:r>
      <w:r w:rsidRPr="008121D7">
        <w:rPr>
          <w:spacing w:val="-8"/>
          <w:szCs w:val="20"/>
        </w:rPr>
        <w:t xml:space="preserve"> </w:t>
      </w:r>
      <w:r w:rsidRPr="008121D7">
        <w:rPr>
          <w:szCs w:val="20"/>
        </w:rPr>
        <w:t>droit</w:t>
      </w:r>
      <w:r w:rsidRPr="008121D7">
        <w:rPr>
          <w:spacing w:val="-8"/>
          <w:szCs w:val="20"/>
        </w:rPr>
        <w:t xml:space="preserve"> </w:t>
      </w:r>
      <w:r w:rsidRPr="008121D7">
        <w:rPr>
          <w:spacing w:val="-2"/>
          <w:szCs w:val="20"/>
        </w:rPr>
        <w:t>français.</w:t>
      </w:r>
      <w:r w:rsidR="00703608">
        <w:rPr>
          <w:spacing w:val="-2"/>
          <w:szCs w:val="20"/>
        </w:rPr>
        <w:t xml:space="preserve"> </w:t>
      </w:r>
      <w:r w:rsidR="00703608">
        <w:t>T</w:t>
      </w:r>
      <w:r w:rsidR="00703608" w:rsidRPr="00295B93">
        <w:t xml:space="preserve">out litige ou contestation auxquels </w:t>
      </w:r>
      <w:r w:rsidR="00703608">
        <w:t xml:space="preserve">le présent </w:t>
      </w:r>
      <w:r w:rsidR="0006761C" w:rsidRPr="008121D7">
        <w:rPr>
          <w:szCs w:val="20"/>
        </w:rPr>
        <w:t>Engagement</w:t>
      </w:r>
      <w:r w:rsidR="0006761C" w:rsidRPr="008121D7">
        <w:rPr>
          <w:spacing w:val="-7"/>
          <w:szCs w:val="20"/>
        </w:rPr>
        <w:t xml:space="preserve"> </w:t>
      </w:r>
      <w:r w:rsidR="00703608" w:rsidRPr="00295B93">
        <w:t>pourrait donner lieu tant sur sa validité que sur son interprétation ou son exécution, sera porté devant les tribunaux compétents du ressort de la juridiction de Paris</w:t>
      </w:r>
      <w:r w:rsidR="00703608">
        <w:t>.</w:t>
      </w:r>
    </w:p>
    <w:p w14:paraId="27605930" w14:textId="77777777" w:rsidR="00851157" w:rsidRPr="008121D7" w:rsidRDefault="00851157" w:rsidP="008121D7">
      <w:pPr>
        <w:pStyle w:val="Corpsdetexte"/>
        <w:spacing w:before="4"/>
      </w:pPr>
    </w:p>
    <w:p w14:paraId="46536EFD" w14:textId="547DB654" w:rsidR="00D47874" w:rsidRPr="008121D7" w:rsidRDefault="00D47874" w:rsidP="008121D7">
      <w:pPr>
        <w:pStyle w:val="Paragraphedeliste"/>
        <w:numPr>
          <w:ilvl w:val="0"/>
          <w:numId w:val="1"/>
        </w:numPr>
        <w:rPr>
          <w:rFonts w:eastAsia="Times New Roman"/>
          <w:szCs w:val="20"/>
        </w:rPr>
      </w:pPr>
      <w:r w:rsidRPr="008121D7">
        <w:rPr>
          <w:szCs w:val="20"/>
        </w:rPr>
        <w:t>L’</w:t>
      </w:r>
      <w:r w:rsidR="008121D7" w:rsidRPr="008121D7">
        <w:rPr>
          <w:szCs w:val="20"/>
        </w:rPr>
        <w:t xml:space="preserve">Engagement </w:t>
      </w:r>
      <w:r w:rsidRPr="008121D7">
        <w:rPr>
          <w:szCs w:val="20"/>
        </w:rPr>
        <w:t>prend effet à compter de sa date de signature et restera en vigueur pendant une durée d</w:t>
      </w:r>
      <w:r w:rsidR="0090296F">
        <w:rPr>
          <w:szCs w:val="20"/>
        </w:rPr>
        <w:t>’un</w:t>
      </w:r>
      <w:r w:rsidRPr="008121D7">
        <w:rPr>
          <w:szCs w:val="20"/>
        </w:rPr>
        <w:t xml:space="preserve"> (</w:t>
      </w:r>
      <w:r w:rsidR="0090296F">
        <w:rPr>
          <w:szCs w:val="20"/>
        </w:rPr>
        <w:t>1</w:t>
      </w:r>
      <w:r w:rsidRPr="008121D7">
        <w:rPr>
          <w:szCs w:val="20"/>
        </w:rPr>
        <w:t xml:space="preserve">) an. Les obligations décrites dans cet </w:t>
      </w:r>
      <w:r w:rsidR="008121D7" w:rsidRPr="008121D7">
        <w:rPr>
          <w:szCs w:val="20"/>
        </w:rPr>
        <w:t>Engagement</w:t>
      </w:r>
      <w:r w:rsidRPr="008121D7">
        <w:rPr>
          <w:szCs w:val="20"/>
        </w:rPr>
        <w:t xml:space="preserve"> continueront à s’appliquer pendant une durée de trois (</w:t>
      </w:r>
      <w:r w:rsidR="0090296F">
        <w:rPr>
          <w:szCs w:val="20"/>
        </w:rPr>
        <w:t>3</w:t>
      </w:r>
      <w:r w:rsidRPr="008121D7">
        <w:rPr>
          <w:szCs w:val="20"/>
        </w:rPr>
        <w:t>) ans suivant sa fin.</w:t>
      </w:r>
    </w:p>
    <w:p w14:paraId="41C603CF" w14:textId="24D6BEF2" w:rsidR="0051330D" w:rsidRPr="008121D7" w:rsidRDefault="0051330D" w:rsidP="008121D7">
      <w:pPr>
        <w:rPr>
          <w:szCs w:val="20"/>
        </w:rPr>
      </w:pPr>
    </w:p>
    <w:p w14:paraId="7D3C4B49" w14:textId="77777777" w:rsidR="008121D7" w:rsidRDefault="008121D7" w:rsidP="008121D7"/>
    <w:p w14:paraId="1A7EB71A" w14:textId="77777777" w:rsidR="00AD5130" w:rsidRDefault="00AD5130" w:rsidP="008121D7"/>
    <w:p w14:paraId="4DA770A4" w14:textId="77777777" w:rsidR="00AD5130" w:rsidRDefault="00AD5130" w:rsidP="008121D7"/>
    <w:p w14:paraId="2F9C7A6B" w14:textId="77777777" w:rsidR="00AD5130" w:rsidRDefault="00AD5130" w:rsidP="008121D7"/>
    <w:p w14:paraId="27605935" w14:textId="77A8C69C" w:rsidR="00851157" w:rsidRDefault="00AD5130" w:rsidP="008121D7">
      <w:r>
        <w:t>Fait</w:t>
      </w:r>
      <w:r>
        <w:rPr>
          <w:spacing w:val="-5"/>
        </w:rPr>
        <w:t xml:space="preserve"> </w:t>
      </w:r>
      <w:r w:rsidR="00E848AE">
        <w:rPr>
          <w:spacing w:val="-5"/>
        </w:rPr>
        <w:t xml:space="preserve">à </w:t>
      </w:r>
      <w:r w:rsidR="00936D9E" w:rsidRPr="00936D9E">
        <w:rPr>
          <w:spacing w:val="-5"/>
          <w:highlight w:val="yellow"/>
        </w:rPr>
        <w:t>………..</w:t>
      </w:r>
      <w:r w:rsidR="00E848AE">
        <w:rPr>
          <w:spacing w:val="-5"/>
        </w:rPr>
        <w:t xml:space="preserve">, </w:t>
      </w:r>
      <w:r>
        <w:t>le</w:t>
      </w:r>
      <w:r w:rsidR="00E848AE" w:rsidRPr="00936D9E">
        <w:rPr>
          <w:spacing w:val="-5"/>
          <w:highlight w:val="yellow"/>
        </w:rPr>
        <w:t>,</w:t>
      </w:r>
      <w:r w:rsidR="00936D9E" w:rsidRPr="00936D9E">
        <w:rPr>
          <w:spacing w:val="-5"/>
          <w:highlight w:val="yellow"/>
        </w:rPr>
        <w:t>……….</w:t>
      </w:r>
    </w:p>
    <w:p w14:paraId="27605936" w14:textId="77777777" w:rsidR="00851157" w:rsidRDefault="00851157" w:rsidP="008121D7"/>
    <w:p w14:paraId="27605940" w14:textId="77777777" w:rsidR="00851157" w:rsidRDefault="00851157" w:rsidP="008121D7"/>
    <w:p w14:paraId="77138B63" w14:textId="77777777" w:rsidR="00351512" w:rsidRDefault="00351512" w:rsidP="008121D7"/>
    <w:p w14:paraId="372D4178" w14:textId="5C2F01AD" w:rsidR="00351512" w:rsidRDefault="00486B19" w:rsidP="008121D7">
      <w:r>
        <w:t>Pour l</w:t>
      </w:r>
      <w:r w:rsidR="00A368D8">
        <w:t>’Assureur</w:t>
      </w:r>
    </w:p>
    <w:p w14:paraId="5C5F0C16" w14:textId="77777777" w:rsidR="00A368D8" w:rsidRDefault="00A368D8" w:rsidP="008121D7"/>
    <w:p w14:paraId="0D90A540" w14:textId="287D6202" w:rsidR="00A368D8" w:rsidRDefault="00A368D8" w:rsidP="008121D7">
      <w:r>
        <w:t xml:space="preserve">Représenté par </w:t>
      </w:r>
      <w:r w:rsidRPr="00936D9E">
        <w:rPr>
          <w:highlight w:val="yellow"/>
        </w:rPr>
        <w:t>…</w:t>
      </w:r>
    </w:p>
    <w:p w14:paraId="26A42A1F" w14:textId="77777777" w:rsidR="00936D9E" w:rsidRDefault="00936D9E" w:rsidP="008121D7"/>
    <w:p w14:paraId="70C0B9E5" w14:textId="1904228E" w:rsidR="00936D9E" w:rsidRDefault="00936D9E" w:rsidP="008121D7">
      <w:r>
        <w:t>signature</w:t>
      </w:r>
    </w:p>
    <w:sectPr w:rsidR="00936D9E">
      <w:headerReference w:type="default" r:id="rId9"/>
      <w:footerReference w:type="default" r:id="rId10"/>
      <w:pgSz w:w="11900" w:h="16850"/>
      <w:pgMar w:top="1320" w:right="1200" w:bottom="660" w:left="1200" w:header="347" w:footer="4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594B" w14:textId="77777777" w:rsidR="007C1FA4" w:rsidRDefault="00AD5130">
      <w:r>
        <w:separator/>
      </w:r>
    </w:p>
  </w:endnote>
  <w:endnote w:type="continuationSeparator" w:id="0">
    <w:p w14:paraId="2760594D" w14:textId="77777777" w:rsidR="007C1FA4" w:rsidRDefault="00AD5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318922420"/>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24C97A8A" w14:textId="3DDC9612" w:rsidR="009B1370" w:rsidRPr="009B1370" w:rsidRDefault="009B1370" w:rsidP="009B1370">
            <w:pPr>
              <w:pStyle w:val="Pieddepage"/>
              <w:rPr>
                <w:sz w:val="16"/>
                <w:szCs w:val="16"/>
              </w:rPr>
            </w:pPr>
            <w:r w:rsidRPr="009B1370">
              <w:rPr>
                <w:rFonts w:eastAsia="Times New Roman"/>
                <w:color w:val="0070C0"/>
                <w:sz w:val="16"/>
                <w:szCs w:val="16"/>
              </w:rPr>
              <w:t>Consultation n°20265024</w:t>
            </w:r>
            <w:r w:rsidRPr="009B1370">
              <w:rPr>
                <w:rFonts w:eastAsia="Times New Roman"/>
                <w:color w:val="0070C0"/>
                <w:sz w:val="16"/>
                <w:szCs w:val="16"/>
              </w:rPr>
              <w:tab/>
            </w:r>
            <w:r w:rsidRPr="009B1370">
              <w:rPr>
                <w:rFonts w:eastAsia="Times New Roman"/>
                <w:color w:val="0070C0"/>
                <w:sz w:val="16"/>
                <w:szCs w:val="16"/>
              </w:rPr>
              <w:tab/>
            </w:r>
            <w:r w:rsidRPr="009B1370">
              <w:rPr>
                <w:sz w:val="16"/>
                <w:szCs w:val="16"/>
              </w:rPr>
              <w:t xml:space="preserve">Page </w:t>
            </w:r>
            <w:r w:rsidRPr="009B1370">
              <w:rPr>
                <w:sz w:val="16"/>
                <w:szCs w:val="16"/>
              </w:rPr>
              <w:fldChar w:fldCharType="begin"/>
            </w:r>
            <w:r w:rsidRPr="009B1370">
              <w:rPr>
                <w:sz w:val="16"/>
                <w:szCs w:val="16"/>
              </w:rPr>
              <w:instrText>PAGE</w:instrText>
            </w:r>
            <w:r w:rsidRPr="009B1370">
              <w:rPr>
                <w:sz w:val="16"/>
                <w:szCs w:val="16"/>
              </w:rPr>
              <w:fldChar w:fldCharType="separate"/>
            </w:r>
            <w:r w:rsidRPr="009B1370">
              <w:rPr>
                <w:sz w:val="16"/>
                <w:szCs w:val="16"/>
              </w:rPr>
              <w:t>2</w:t>
            </w:r>
            <w:r w:rsidRPr="009B1370">
              <w:rPr>
                <w:sz w:val="16"/>
                <w:szCs w:val="16"/>
              </w:rPr>
              <w:fldChar w:fldCharType="end"/>
            </w:r>
            <w:r w:rsidRPr="009B1370">
              <w:rPr>
                <w:sz w:val="16"/>
                <w:szCs w:val="16"/>
              </w:rPr>
              <w:t xml:space="preserve"> sur </w:t>
            </w:r>
            <w:r w:rsidRPr="009B1370">
              <w:rPr>
                <w:sz w:val="16"/>
                <w:szCs w:val="16"/>
              </w:rPr>
              <w:fldChar w:fldCharType="begin"/>
            </w:r>
            <w:r w:rsidRPr="009B1370">
              <w:rPr>
                <w:sz w:val="16"/>
                <w:szCs w:val="16"/>
              </w:rPr>
              <w:instrText>NUMPAGES</w:instrText>
            </w:r>
            <w:r w:rsidRPr="009B1370">
              <w:rPr>
                <w:sz w:val="16"/>
                <w:szCs w:val="16"/>
              </w:rPr>
              <w:fldChar w:fldCharType="separate"/>
            </w:r>
            <w:r w:rsidRPr="009B1370">
              <w:rPr>
                <w:sz w:val="16"/>
                <w:szCs w:val="16"/>
              </w:rPr>
              <w:t>2</w:t>
            </w:r>
            <w:r w:rsidRPr="009B1370">
              <w:rPr>
                <w:sz w:val="16"/>
                <w:szCs w:val="16"/>
              </w:rPr>
              <w:fldChar w:fldCharType="end"/>
            </w:r>
          </w:p>
        </w:sdtContent>
      </w:sdt>
    </w:sdtContent>
  </w:sdt>
  <w:p w14:paraId="27605946" w14:textId="2149BC4C" w:rsidR="00851157" w:rsidRPr="009B1370" w:rsidRDefault="00851157" w:rsidP="009B137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05947" w14:textId="77777777" w:rsidR="007C1FA4" w:rsidRDefault="00AD5130">
      <w:r>
        <w:separator/>
      </w:r>
    </w:p>
  </w:footnote>
  <w:footnote w:type="continuationSeparator" w:id="0">
    <w:p w14:paraId="27605949" w14:textId="77777777" w:rsidR="007C1FA4" w:rsidRDefault="00AD5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05945" w14:textId="7249689E" w:rsidR="00851157" w:rsidRDefault="00851157">
    <w:pPr>
      <w:pStyle w:val="Corpsdetex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3E394D"/>
    <w:multiLevelType w:val="multilevel"/>
    <w:tmpl w:val="70F29856"/>
    <w:lvl w:ilvl="0">
      <w:start w:val="1"/>
      <w:numFmt w:val="decimal"/>
      <w:lvlText w:val="%1."/>
      <w:lvlJc w:val="left"/>
      <w:pPr>
        <w:ind w:left="576" w:hanging="360"/>
      </w:pPr>
      <w:rPr>
        <w:rFonts w:ascii="Arial" w:eastAsia="Arial" w:hAnsi="Arial" w:cs="Arial" w:hint="default"/>
        <w:b/>
        <w:bCs/>
        <w:i w:val="0"/>
        <w:iCs w:val="0"/>
        <w:spacing w:val="-1"/>
        <w:w w:val="99"/>
        <w:sz w:val="20"/>
        <w:szCs w:val="20"/>
        <w:lang w:val="fr-FR" w:eastAsia="en-US" w:bidi="ar-SA"/>
      </w:rPr>
    </w:lvl>
    <w:lvl w:ilvl="1">
      <w:start w:val="1"/>
      <w:numFmt w:val="decimal"/>
      <w:lvlText w:val="%1.%2."/>
      <w:lvlJc w:val="left"/>
      <w:pPr>
        <w:ind w:left="1008" w:hanging="432"/>
      </w:pPr>
      <w:rPr>
        <w:rFonts w:ascii="Arial" w:eastAsia="Arial" w:hAnsi="Arial" w:cs="Arial" w:hint="default"/>
        <w:b w:val="0"/>
        <w:bCs w:val="0"/>
        <w:i w:val="0"/>
        <w:iCs w:val="0"/>
        <w:spacing w:val="-1"/>
        <w:w w:val="99"/>
        <w:sz w:val="20"/>
        <w:szCs w:val="20"/>
        <w:lang w:val="fr-FR" w:eastAsia="en-US" w:bidi="ar-SA"/>
      </w:rPr>
    </w:lvl>
    <w:lvl w:ilvl="2">
      <w:numFmt w:val="bullet"/>
      <w:lvlText w:val="•"/>
      <w:lvlJc w:val="left"/>
      <w:pPr>
        <w:ind w:left="1944" w:hanging="432"/>
      </w:pPr>
      <w:rPr>
        <w:rFonts w:hint="default"/>
        <w:lang w:val="fr-FR" w:eastAsia="en-US" w:bidi="ar-SA"/>
      </w:rPr>
    </w:lvl>
    <w:lvl w:ilvl="3">
      <w:numFmt w:val="bullet"/>
      <w:lvlText w:val="•"/>
      <w:lvlJc w:val="left"/>
      <w:pPr>
        <w:ind w:left="2888" w:hanging="432"/>
      </w:pPr>
      <w:rPr>
        <w:rFonts w:hint="default"/>
        <w:lang w:val="fr-FR" w:eastAsia="en-US" w:bidi="ar-SA"/>
      </w:rPr>
    </w:lvl>
    <w:lvl w:ilvl="4">
      <w:numFmt w:val="bullet"/>
      <w:lvlText w:val="•"/>
      <w:lvlJc w:val="left"/>
      <w:pPr>
        <w:ind w:left="3833" w:hanging="432"/>
      </w:pPr>
      <w:rPr>
        <w:rFonts w:hint="default"/>
        <w:lang w:val="fr-FR" w:eastAsia="en-US" w:bidi="ar-SA"/>
      </w:rPr>
    </w:lvl>
    <w:lvl w:ilvl="5">
      <w:numFmt w:val="bullet"/>
      <w:lvlText w:val="•"/>
      <w:lvlJc w:val="left"/>
      <w:pPr>
        <w:ind w:left="4777" w:hanging="432"/>
      </w:pPr>
      <w:rPr>
        <w:rFonts w:hint="default"/>
        <w:lang w:val="fr-FR" w:eastAsia="en-US" w:bidi="ar-SA"/>
      </w:rPr>
    </w:lvl>
    <w:lvl w:ilvl="6">
      <w:numFmt w:val="bullet"/>
      <w:lvlText w:val="•"/>
      <w:lvlJc w:val="left"/>
      <w:pPr>
        <w:ind w:left="5721" w:hanging="432"/>
      </w:pPr>
      <w:rPr>
        <w:rFonts w:hint="default"/>
        <w:lang w:val="fr-FR" w:eastAsia="en-US" w:bidi="ar-SA"/>
      </w:rPr>
    </w:lvl>
    <w:lvl w:ilvl="7">
      <w:numFmt w:val="bullet"/>
      <w:lvlText w:val="•"/>
      <w:lvlJc w:val="left"/>
      <w:pPr>
        <w:ind w:left="6666" w:hanging="432"/>
      </w:pPr>
      <w:rPr>
        <w:rFonts w:hint="default"/>
        <w:lang w:val="fr-FR" w:eastAsia="en-US" w:bidi="ar-SA"/>
      </w:rPr>
    </w:lvl>
    <w:lvl w:ilvl="8">
      <w:numFmt w:val="bullet"/>
      <w:lvlText w:val="•"/>
      <w:lvlJc w:val="left"/>
      <w:pPr>
        <w:ind w:left="7610" w:hanging="432"/>
      </w:pPr>
      <w:rPr>
        <w:rFonts w:hint="default"/>
        <w:lang w:val="fr-FR" w:eastAsia="en-US" w:bidi="ar-SA"/>
      </w:rPr>
    </w:lvl>
  </w:abstractNum>
  <w:abstractNum w:abstractNumId="1" w15:restartNumberingAfterBreak="0">
    <w:nsid w:val="38210DB5"/>
    <w:multiLevelType w:val="hybridMultilevel"/>
    <w:tmpl w:val="341A3D4A"/>
    <w:lvl w:ilvl="0" w:tplc="040C0001">
      <w:start w:val="1"/>
      <w:numFmt w:val="bullet"/>
      <w:lvlText w:val=""/>
      <w:lvlJc w:val="left"/>
      <w:pPr>
        <w:ind w:left="1296" w:hanging="360"/>
      </w:pPr>
      <w:rPr>
        <w:rFonts w:ascii="Symbol" w:hAnsi="Symbol" w:hint="default"/>
      </w:rPr>
    </w:lvl>
    <w:lvl w:ilvl="1" w:tplc="040C0003" w:tentative="1">
      <w:start w:val="1"/>
      <w:numFmt w:val="bullet"/>
      <w:lvlText w:val="o"/>
      <w:lvlJc w:val="left"/>
      <w:pPr>
        <w:ind w:left="2016" w:hanging="360"/>
      </w:pPr>
      <w:rPr>
        <w:rFonts w:ascii="Courier New" w:hAnsi="Courier New" w:cs="Courier New" w:hint="default"/>
      </w:rPr>
    </w:lvl>
    <w:lvl w:ilvl="2" w:tplc="040C0005" w:tentative="1">
      <w:start w:val="1"/>
      <w:numFmt w:val="bullet"/>
      <w:lvlText w:val=""/>
      <w:lvlJc w:val="left"/>
      <w:pPr>
        <w:ind w:left="2736" w:hanging="360"/>
      </w:pPr>
      <w:rPr>
        <w:rFonts w:ascii="Wingdings" w:hAnsi="Wingdings" w:hint="default"/>
      </w:rPr>
    </w:lvl>
    <w:lvl w:ilvl="3" w:tplc="040C0001" w:tentative="1">
      <w:start w:val="1"/>
      <w:numFmt w:val="bullet"/>
      <w:lvlText w:val=""/>
      <w:lvlJc w:val="left"/>
      <w:pPr>
        <w:ind w:left="3456" w:hanging="360"/>
      </w:pPr>
      <w:rPr>
        <w:rFonts w:ascii="Symbol" w:hAnsi="Symbol" w:hint="default"/>
      </w:rPr>
    </w:lvl>
    <w:lvl w:ilvl="4" w:tplc="040C0003" w:tentative="1">
      <w:start w:val="1"/>
      <w:numFmt w:val="bullet"/>
      <w:lvlText w:val="o"/>
      <w:lvlJc w:val="left"/>
      <w:pPr>
        <w:ind w:left="4176" w:hanging="360"/>
      </w:pPr>
      <w:rPr>
        <w:rFonts w:ascii="Courier New" w:hAnsi="Courier New" w:cs="Courier New" w:hint="default"/>
      </w:rPr>
    </w:lvl>
    <w:lvl w:ilvl="5" w:tplc="040C0005" w:tentative="1">
      <w:start w:val="1"/>
      <w:numFmt w:val="bullet"/>
      <w:lvlText w:val=""/>
      <w:lvlJc w:val="left"/>
      <w:pPr>
        <w:ind w:left="4896" w:hanging="360"/>
      </w:pPr>
      <w:rPr>
        <w:rFonts w:ascii="Wingdings" w:hAnsi="Wingdings" w:hint="default"/>
      </w:rPr>
    </w:lvl>
    <w:lvl w:ilvl="6" w:tplc="040C0001" w:tentative="1">
      <w:start w:val="1"/>
      <w:numFmt w:val="bullet"/>
      <w:lvlText w:val=""/>
      <w:lvlJc w:val="left"/>
      <w:pPr>
        <w:ind w:left="5616" w:hanging="360"/>
      </w:pPr>
      <w:rPr>
        <w:rFonts w:ascii="Symbol" w:hAnsi="Symbol" w:hint="default"/>
      </w:rPr>
    </w:lvl>
    <w:lvl w:ilvl="7" w:tplc="040C0003" w:tentative="1">
      <w:start w:val="1"/>
      <w:numFmt w:val="bullet"/>
      <w:lvlText w:val="o"/>
      <w:lvlJc w:val="left"/>
      <w:pPr>
        <w:ind w:left="6336" w:hanging="360"/>
      </w:pPr>
      <w:rPr>
        <w:rFonts w:ascii="Courier New" w:hAnsi="Courier New" w:cs="Courier New" w:hint="default"/>
      </w:rPr>
    </w:lvl>
    <w:lvl w:ilvl="8" w:tplc="040C0005" w:tentative="1">
      <w:start w:val="1"/>
      <w:numFmt w:val="bullet"/>
      <w:lvlText w:val=""/>
      <w:lvlJc w:val="left"/>
      <w:pPr>
        <w:ind w:left="7056" w:hanging="360"/>
      </w:pPr>
      <w:rPr>
        <w:rFonts w:ascii="Wingdings" w:hAnsi="Wingdings" w:hint="default"/>
      </w:rPr>
    </w:lvl>
  </w:abstractNum>
  <w:abstractNum w:abstractNumId="2" w15:restartNumberingAfterBreak="0">
    <w:nsid w:val="66E12141"/>
    <w:multiLevelType w:val="hybridMultilevel"/>
    <w:tmpl w:val="D1CCFAEC"/>
    <w:lvl w:ilvl="0" w:tplc="C13EEF4C">
      <w:start w:val="5"/>
      <w:numFmt w:val="bullet"/>
      <w:lvlText w:val="-"/>
      <w:lvlJc w:val="left"/>
      <w:pPr>
        <w:ind w:left="1368" w:hanging="360"/>
      </w:pPr>
      <w:rPr>
        <w:rFonts w:ascii="Arial" w:eastAsia="Arial" w:hAnsi="Arial" w:cs="Arial" w:hint="default"/>
      </w:rPr>
    </w:lvl>
    <w:lvl w:ilvl="1" w:tplc="040C0003" w:tentative="1">
      <w:start w:val="1"/>
      <w:numFmt w:val="bullet"/>
      <w:lvlText w:val="o"/>
      <w:lvlJc w:val="left"/>
      <w:pPr>
        <w:ind w:left="2088" w:hanging="360"/>
      </w:pPr>
      <w:rPr>
        <w:rFonts w:ascii="Courier New" w:hAnsi="Courier New" w:cs="Courier New" w:hint="default"/>
      </w:rPr>
    </w:lvl>
    <w:lvl w:ilvl="2" w:tplc="040C0005" w:tentative="1">
      <w:start w:val="1"/>
      <w:numFmt w:val="bullet"/>
      <w:lvlText w:val=""/>
      <w:lvlJc w:val="left"/>
      <w:pPr>
        <w:ind w:left="2808" w:hanging="360"/>
      </w:pPr>
      <w:rPr>
        <w:rFonts w:ascii="Wingdings" w:hAnsi="Wingdings" w:hint="default"/>
      </w:rPr>
    </w:lvl>
    <w:lvl w:ilvl="3" w:tplc="040C0001" w:tentative="1">
      <w:start w:val="1"/>
      <w:numFmt w:val="bullet"/>
      <w:lvlText w:val=""/>
      <w:lvlJc w:val="left"/>
      <w:pPr>
        <w:ind w:left="3528" w:hanging="360"/>
      </w:pPr>
      <w:rPr>
        <w:rFonts w:ascii="Symbol" w:hAnsi="Symbol" w:hint="default"/>
      </w:rPr>
    </w:lvl>
    <w:lvl w:ilvl="4" w:tplc="040C0003" w:tentative="1">
      <w:start w:val="1"/>
      <w:numFmt w:val="bullet"/>
      <w:lvlText w:val="o"/>
      <w:lvlJc w:val="left"/>
      <w:pPr>
        <w:ind w:left="4248" w:hanging="360"/>
      </w:pPr>
      <w:rPr>
        <w:rFonts w:ascii="Courier New" w:hAnsi="Courier New" w:cs="Courier New" w:hint="default"/>
      </w:rPr>
    </w:lvl>
    <w:lvl w:ilvl="5" w:tplc="040C0005" w:tentative="1">
      <w:start w:val="1"/>
      <w:numFmt w:val="bullet"/>
      <w:lvlText w:val=""/>
      <w:lvlJc w:val="left"/>
      <w:pPr>
        <w:ind w:left="4968" w:hanging="360"/>
      </w:pPr>
      <w:rPr>
        <w:rFonts w:ascii="Wingdings" w:hAnsi="Wingdings" w:hint="default"/>
      </w:rPr>
    </w:lvl>
    <w:lvl w:ilvl="6" w:tplc="040C0001" w:tentative="1">
      <w:start w:val="1"/>
      <w:numFmt w:val="bullet"/>
      <w:lvlText w:val=""/>
      <w:lvlJc w:val="left"/>
      <w:pPr>
        <w:ind w:left="5688" w:hanging="360"/>
      </w:pPr>
      <w:rPr>
        <w:rFonts w:ascii="Symbol" w:hAnsi="Symbol" w:hint="default"/>
      </w:rPr>
    </w:lvl>
    <w:lvl w:ilvl="7" w:tplc="040C0003" w:tentative="1">
      <w:start w:val="1"/>
      <w:numFmt w:val="bullet"/>
      <w:lvlText w:val="o"/>
      <w:lvlJc w:val="left"/>
      <w:pPr>
        <w:ind w:left="6408" w:hanging="360"/>
      </w:pPr>
      <w:rPr>
        <w:rFonts w:ascii="Courier New" w:hAnsi="Courier New" w:cs="Courier New" w:hint="default"/>
      </w:rPr>
    </w:lvl>
    <w:lvl w:ilvl="8" w:tplc="040C0005" w:tentative="1">
      <w:start w:val="1"/>
      <w:numFmt w:val="bullet"/>
      <w:lvlText w:val=""/>
      <w:lvlJc w:val="left"/>
      <w:pPr>
        <w:ind w:left="7128" w:hanging="360"/>
      </w:pPr>
      <w:rPr>
        <w:rFonts w:ascii="Wingdings" w:hAnsi="Wingdings" w:hint="default"/>
      </w:rPr>
    </w:lvl>
  </w:abstractNum>
  <w:num w:numId="1" w16cid:durableId="303514015">
    <w:abstractNumId w:val="0"/>
  </w:num>
  <w:num w:numId="2" w16cid:durableId="228273516">
    <w:abstractNumId w:val="1"/>
  </w:num>
  <w:num w:numId="3" w16cid:durableId="1090538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157"/>
    <w:rsid w:val="0006761C"/>
    <w:rsid w:val="00071155"/>
    <w:rsid w:val="00096085"/>
    <w:rsid w:val="000B6954"/>
    <w:rsid w:val="000D5144"/>
    <w:rsid w:val="0010520D"/>
    <w:rsid w:val="001251F4"/>
    <w:rsid w:val="00185889"/>
    <w:rsid w:val="001A7AF9"/>
    <w:rsid w:val="001B2F65"/>
    <w:rsid w:val="001E293A"/>
    <w:rsid w:val="002F24BD"/>
    <w:rsid w:val="003430DF"/>
    <w:rsid w:val="00351512"/>
    <w:rsid w:val="00357290"/>
    <w:rsid w:val="00377A29"/>
    <w:rsid w:val="003B013C"/>
    <w:rsid w:val="003B10B5"/>
    <w:rsid w:val="003E34D9"/>
    <w:rsid w:val="00431DB0"/>
    <w:rsid w:val="00437BB7"/>
    <w:rsid w:val="00486B19"/>
    <w:rsid w:val="004A1C51"/>
    <w:rsid w:val="004D6866"/>
    <w:rsid w:val="0051330D"/>
    <w:rsid w:val="005A7B50"/>
    <w:rsid w:val="005F0456"/>
    <w:rsid w:val="005F261A"/>
    <w:rsid w:val="00611550"/>
    <w:rsid w:val="00644935"/>
    <w:rsid w:val="006C0232"/>
    <w:rsid w:val="00703608"/>
    <w:rsid w:val="00745177"/>
    <w:rsid w:val="00790479"/>
    <w:rsid w:val="007C1FA4"/>
    <w:rsid w:val="007D1466"/>
    <w:rsid w:val="007D2518"/>
    <w:rsid w:val="00807327"/>
    <w:rsid w:val="008121D7"/>
    <w:rsid w:val="00851157"/>
    <w:rsid w:val="00852918"/>
    <w:rsid w:val="008B5189"/>
    <w:rsid w:val="008B67C6"/>
    <w:rsid w:val="008D4901"/>
    <w:rsid w:val="008F6DF9"/>
    <w:rsid w:val="0090296F"/>
    <w:rsid w:val="00936D9E"/>
    <w:rsid w:val="00953AAD"/>
    <w:rsid w:val="009B1370"/>
    <w:rsid w:val="009E05DC"/>
    <w:rsid w:val="00A20C6A"/>
    <w:rsid w:val="00A368D8"/>
    <w:rsid w:val="00AD5130"/>
    <w:rsid w:val="00B358FE"/>
    <w:rsid w:val="00B43627"/>
    <w:rsid w:val="00B44ED9"/>
    <w:rsid w:val="00B84FF3"/>
    <w:rsid w:val="00BD2BCA"/>
    <w:rsid w:val="00BD30B1"/>
    <w:rsid w:val="00C54FDB"/>
    <w:rsid w:val="00C70908"/>
    <w:rsid w:val="00CB7425"/>
    <w:rsid w:val="00CF11FE"/>
    <w:rsid w:val="00D47874"/>
    <w:rsid w:val="00DD79D5"/>
    <w:rsid w:val="00E24F96"/>
    <w:rsid w:val="00E64AA0"/>
    <w:rsid w:val="00E848AE"/>
    <w:rsid w:val="00EC02DF"/>
    <w:rsid w:val="00EF0AA5"/>
    <w:rsid w:val="00F37415"/>
    <w:rsid w:val="00F73803"/>
    <w:rsid w:val="00F75BAA"/>
    <w:rsid w:val="00FA6EF4"/>
    <w:rsid w:val="00FB0345"/>
    <w:rsid w:val="00FF51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058E7"/>
  <w15:docId w15:val="{9EF62AE1-1926-4AAD-B307-FB28D3F52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908"/>
    <w:pPr>
      <w:jc w:val="both"/>
    </w:pPr>
    <w:rPr>
      <w:rFonts w:ascii="Arial" w:eastAsia="Arial" w:hAnsi="Arial" w:cs="Arial"/>
      <w:sz w:val="20"/>
      <w:lang w:val="fr-FR"/>
    </w:rPr>
  </w:style>
  <w:style w:type="paragraph" w:styleId="Titre1">
    <w:name w:val="heading 1"/>
    <w:basedOn w:val="Normal"/>
    <w:uiPriority w:val="9"/>
    <w:qFormat/>
    <w:pPr>
      <w:ind w:left="216"/>
      <w:outlineLvl w:val="0"/>
    </w:pPr>
    <w:rPr>
      <w:b/>
      <w:bCs/>
      <w:szCs w:val="20"/>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Cs w:val="20"/>
    </w:rPr>
  </w:style>
  <w:style w:type="paragraph" w:styleId="Paragraphedeliste">
    <w:name w:val="List Paragraph"/>
    <w:basedOn w:val="Normal"/>
    <w:uiPriority w:val="1"/>
    <w:qFormat/>
    <w:pPr>
      <w:ind w:left="576" w:right="225" w:hanging="432"/>
    </w:pPr>
  </w:style>
  <w:style w:type="paragraph" w:customStyle="1" w:styleId="TableParagraph">
    <w:name w:val="Table Paragraph"/>
    <w:basedOn w:val="Normal"/>
    <w:uiPriority w:val="1"/>
    <w:qFormat/>
    <w:pPr>
      <w:ind w:right="1083"/>
      <w:jc w:val="center"/>
    </w:pPr>
  </w:style>
  <w:style w:type="paragraph" w:styleId="Rvision">
    <w:name w:val="Revision"/>
    <w:hidden/>
    <w:uiPriority w:val="99"/>
    <w:semiHidden/>
    <w:rsid w:val="00DD79D5"/>
    <w:pPr>
      <w:widowControl/>
      <w:autoSpaceDE/>
      <w:autoSpaceDN/>
    </w:pPr>
    <w:rPr>
      <w:rFonts w:ascii="Arial" w:eastAsia="Arial" w:hAnsi="Arial" w:cs="Arial"/>
      <w:sz w:val="20"/>
      <w:lang w:val="fr-FR"/>
    </w:rPr>
  </w:style>
  <w:style w:type="paragraph" w:styleId="Pieddepage">
    <w:name w:val="footer"/>
    <w:basedOn w:val="Normal"/>
    <w:link w:val="PieddepageCar"/>
    <w:uiPriority w:val="99"/>
    <w:unhideWhenUsed/>
    <w:rsid w:val="00807327"/>
    <w:pPr>
      <w:tabs>
        <w:tab w:val="center" w:pos="4536"/>
        <w:tab w:val="right" w:pos="9072"/>
      </w:tabs>
    </w:pPr>
  </w:style>
  <w:style w:type="character" w:customStyle="1" w:styleId="PieddepageCar">
    <w:name w:val="Pied de page Car"/>
    <w:basedOn w:val="Policepardfaut"/>
    <w:link w:val="Pieddepage"/>
    <w:uiPriority w:val="99"/>
    <w:rsid w:val="00807327"/>
    <w:rPr>
      <w:rFonts w:ascii="Arial" w:eastAsia="Arial" w:hAnsi="Arial" w:cs="Arial"/>
      <w:sz w:val="20"/>
      <w:lang w:val="fr-FR"/>
    </w:rPr>
  </w:style>
  <w:style w:type="character" w:styleId="Marquedecommentaire">
    <w:name w:val="annotation reference"/>
    <w:basedOn w:val="Policepardfaut"/>
    <w:uiPriority w:val="99"/>
    <w:semiHidden/>
    <w:unhideWhenUsed/>
    <w:rsid w:val="00E64AA0"/>
    <w:rPr>
      <w:sz w:val="16"/>
      <w:szCs w:val="16"/>
    </w:rPr>
  </w:style>
  <w:style w:type="paragraph" w:styleId="Commentaire">
    <w:name w:val="annotation text"/>
    <w:basedOn w:val="Normal"/>
    <w:link w:val="CommentaireCar"/>
    <w:uiPriority w:val="99"/>
    <w:unhideWhenUsed/>
    <w:rsid w:val="00E64AA0"/>
    <w:rPr>
      <w:szCs w:val="20"/>
    </w:rPr>
  </w:style>
  <w:style w:type="character" w:customStyle="1" w:styleId="CommentaireCar">
    <w:name w:val="Commentaire Car"/>
    <w:basedOn w:val="Policepardfaut"/>
    <w:link w:val="Commentaire"/>
    <w:uiPriority w:val="99"/>
    <w:rsid w:val="00E64AA0"/>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E64AA0"/>
    <w:rPr>
      <w:b/>
      <w:bCs/>
    </w:rPr>
  </w:style>
  <w:style w:type="character" w:customStyle="1" w:styleId="ObjetducommentaireCar">
    <w:name w:val="Objet du commentaire Car"/>
    <w:basedOn w:val="CommentaireCar"/>
    <w:link w:val="Objetducommentaire"/>
    <w:uiPriority w:val="99"/>
    <w:semiHidden/>
    <w:rsid w:val="00E64AA0"/>
    <w:rPr>
      <w:rFonts w:ascii="Arial" w:eastAsia="Arial" w:hAnsi="Arial" w:cs="Arial"/>
      <w:b/>
      <w:bCs/>
      <w:sz w:val="20"/>
      <w:szCs w:val="20"/>
      <w:lang w:val="fr-FR"/>
    </w:rPr>
  </w:style>
  <w:style w:type="paragraph" w:styleId="En-tte">
    <w:name w:val="header"/>
    <w:basedOn w:val="Normal"/>
    <w:link w:val="En-tteCar"/>
    <w:uiPriority w:val="99"/>
    <w:unhideWhenUsed/>
    <w:rsid w:val="003430DF"/>
    <w:pPr>
      <w:tabs>
        <w:tab w:val="center" w:pos="4536"/>
        <w:tab w:val="right" w:pos="9072"/>
      </w:tabs>
    </w:pPr>
  </w:style>
  <w:style w:type="character" w:customStyle="1" w:styleId="En-tteCar">
    <w:name w:val="En-tête Car"/>
    <w:basedOn w:val="Policepardfaut"/>
    <w:link w:val="En-tte"/>
    <w:uiPriority w:val="99"/>
    <w:rsid w:val="003430DF"/>
    <w:rPr>
      <w:rFonts w:ascii="Arial" w:eastAsia="Arial" w:hAnsi="Arial" w:cs="Arial"/>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657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7691E-E3E5-4E68-896D-79CB34E65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948</Words>
  <Characters>5214</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 LAJUGIE Alix (AGCS SE)</dc:creator>
  <cp:lastModifiedBy>Laaroussi, Abdelkader</cp:lastModifiedBy>
  <cp:revision>6</cp:revision>
  <dcterms:created xsi:type="dcterms:W3CDTF">2025-10-09T09:22:00Z</dcterms:created>
  <dcterms:modified xsi:type="dcterms:W3CDTF">2026-02-12T15:16:00Z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2023-08-01T00:00:00Z</vt:filetime>
  </property>
  <property fmtid="{D5CDD505-2E9C-101B-9397-08002B2CF9AE}" pid="3" name="Creator">
    <vt:lpwstr>Microsoft® Word for Microsoft 365</vt:lpwstr>
  </property>
  <property fmtid="{D5CDD505-2E9C-101B-9397-08002B2CF9AE}" pid="4" name="LastSaved">
    <vt:filetime>2024-01-22T00:00:00Z</vt:filetime>
  </property>
  <property fmtid="{D5CDD505-2E9C-101B-9397-08002B2CF9AE}" pid="5" name="Producer">
    <vt:lpwstr>Microsoft® Word for Microsoft 365</vt:lpwstr>
  </property>
  <property fmtid="{D5CDD505-2E9C-101B-9397-08002B2CF9AE}" pid="6" name="MSIP_Label_d347b247-e90e-43a3-9d7b-004f14ae6873_Enabled">
    <vt:lpwstr>true</vt:lpwstr>
  </property>
  <property fmtid="{D5CDD505-2E9C-101B-9397-08002B2CF9AE}" pid="7" name="MSIP_Label_d347b247-e90e-43a3-9d7b-004f14ae6873_SetDate">
    <vt:lpwstr>2024-01-22T14:50:12Z</vt:lpwstr>
  </property>
  <property fmtid="{D5CDD505-2E9C-101B-9397-08002B2CF9AE}" pid="8" name="MSIP_Label_d347b247-e90e-43a3-9d7b-004f14ae6873_Method">
    <vt:lpwstr>Standard</vt:lpwstr>
  </property>
  <property fmtid="{D5CDD505-2E9C-101B-9397-08002B2CF9AE}" pid="9" name="MSIP_Label_d347b247-e90e-43a3-9d7b-004f14ae6873_Name">
    <vt:lpwstr>d347b247-e90e-43a3-9d7b-004f14ae6873</vt:lpwstr>
  </property>
  <property fmtid="{D5CDD505-2E9C-101B-9397-08002B2CF9AE}" pid="10" name="MSIP_Label_d347b247-e90e-43a3-9d7b-004f14ae6873_SiteId">
    <vt:lpwstr>76e3921f-489b-4b7e-9547-9ea297add9b5</vt:lpwstr>
  </property>
  <property fmtid="{D5CDD505-2E9C-101B-9397-08002B2CF9AE}" pid="11" name="MSIP_Label_d347b247-e90e-43a3-9d7b-004f14ae6873_ActionId">
    <vt:lpwstr>9479c73c-d0a8-42c5-9d3d-521394203a25</vt:lpwstr>
  </property>
  <property fmtid="{D5CDD505-2E9C-101B-9397-08002B2CF9AE}" pid="12" name="MSIP_Label_d347b247-e90e-43a3-9d7b-004f14ae6873_ContentBits">
    <vt:lpwstr>0</vt:lpwstr>
  </property>
  <property fmtid="{D5CDD505-2E9C-101B-9397-08002B2CF9AE}" pid="13" name="MSIP_Label_384d75e3-4e4f-4a99-ab43-62ba897f04ce_Enabled">
    <vt:lpwstr>true</vt:lpwstr>
  </property>
  <property fmtid="{D5CDD505-2E9C-101B-9397-08002B2CF9AE}" pid="14" name="MSIP_Label_384d75e3-4e4f-4a99-ab43-62ba897f04ce_SetDate">
    <vt:lpwstr>2024-01-23T16:54:29Z</vt:lpwstr>
  </property>
  <property fmtid="{D5CDD505-2E9C-101B-9397-08002B2CF9AE}" pid="15" name="MSIP_Label_384d75e3-4e4f-4a99-ab43-62ba897f04ce_Method">
    <vt:lpwstr>Privileged</vt:lpwstr>
  </property>
  <property fmtid="{D5CDD505-2E9C-101B-9397-08002B2CF9AE}" pid="16" name="MSIP_Label_384d75e3-4e4f-4a99-ab43-62ba897f04ce_Name">
    <vt:lpwstr>C3-Confidentiel sans marquage</vt:lpwstr>
  </property>
  <property fmtid="{D5CDD505-2E9C-101B-9397-08002B2CF9AE}" pid="17" name="MSIP_Label_384d75e3-4e4f-4a99-ab43-62ba897f04ce_SiteId">
    <vt:lpwstr>6eab6365-8194-49c6-a4d0-e2d1a0fbeb74</vt:lpwstr>
  </property>
  <property fmtid="{D5CDD505-2E9C-101B-9397-08002B2CF9AE}" pid="18" name="MSIP_Label_384d75e3-4e4f-4a99-ab43-62ba897f04ce_ActionId">
    <vt:lpwstr>21b63622-6dc2-40a6-b585-b8ee4e6cb1fc</vt:lpwstr>
  </property>
  <property fmtid="{D5CDD505-2E9C-101B-9397-08002B2CF9AE}" pid="19" name="MSIP_Label_384d75e3-4e4f-4a99-ab43-62ba897f04ce_ContentBits">
    <vt:lpwstr>0</vt:lpwstr>
  </property>
</Properties>
</file>